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4984C" w14:textId="014FEED2" w:rsidR="00936270" w:rsidRPr="000E2560" w:rsidRDefault="000E2560" w:rsidP="000E2560">
      <w:pPr>
        <w:jc w:val="center"/>
        <w:rPr>
          <w:rFonts w:ascii="Arial" w:hAnsi="Arial" w:cs="Arial"/>
          <w:b/>
          <w:bCs/>
          <w:sz w:val="24"/>
          <w:szCs w:val="24"/>
        </w:rPr>
      </w:pPr>
      <w:r w:rsidRPr="000E2560">
        <w:rPr>
          <w:rFonts w:ascii="Arial" w:hAnsi="Arial" w:cs="Arial"/>
          <w:b/>
          <w:bCs/>
          <w:sz w:val="24"/>
          <w:szCs w:val="24"/>
        </w:rPr>
        <w:t>Liverpool City Region Labour Market Information May 2022</w:t>
      </w:r>
    </w:p>
    <w:p w14:paraId="72899998" w14:textId="23D65BFA" w:rsidR="000E2560" w:rsidRPr="000E2560" w:rsidRDefault="000E2560">
      <w:pPr>
        <w:rPr>
          <w:rFonts w:ascii="Arial" w:hAnsi="Arial" w:cs="Arial"/>
        </w:rPr>
      </w:pPr>
    </w:p>
    <w:p w14:paraId="135A9436" w14:textId="77777777" w:rsidR="000E2560" w:rsidRPr="000E2560" w:rsidRDefault="000E2560" w:rsidP="000E2560">
      <w:pPr>
        <w:rPr>
          <w:rFonts w:ascii="Arial" w:hAnsi="Arial" w:cs="Arial"/>
          <w:b/>
          <w:bCs/>
          <w:sz w:val="24"/>
          <w:szCs w:val="24"/>
        </w:rPr>
      </w:pPr>
      <w:r w:rsidRPr="000E2560">
        <w:rPr>
          <w:rFonts w:ascii="Arial" w:hAnsi="Arial" w:cs="Arial"/>
          <w:b/>
          <w:bCs/>
          <w:sz w:val="24"/>
          <w:szCs w:val="24"/>
        </w:rPr>
        <w:t>Top Line Take:</w:t>
      </w:r>
    </w:p>
    <w:p w14:paraId="14F4885A" w14:textId="77777777" w:rsidR="000E2560" w:rsidRPr="000E2560" w:rsidRDefault="000E2560" w:rsidP="000E2560">
      <w:pPr>
        <w:rPr>
          <w:rFonts w:ascii="Arial" w:hAnsi="Arial" w:cs="Arial"/>
          <w:b/>
          <w:bCs/>
          <w:sz w:val="24"/>
          <w:szCs w:val="24"/>
        </w:rPr>
      </w:pPr>
    </w:p>
    <w:p w14:paraId="041FA909" w14:textId="77777777" w:rsidR="000E2560" w:rsidRPr="000E2560" w:rsidRDefault="000E2560" w:rsidP="000E2560">
      <w:pPr>
        <w:rPr>
          <w:rFonts w:ascii="Arial" w:hAnsi="Arial" w:cs="Arial"/>
          <w:b/>
          <w:bCs/>
          <w:sz w:val="24"/>
          <w:szCs w:val="24"/>
        </w:rPr>
      </w:pPr>
      <w:r w:rsidRPr="000E2560">
        <w:rPr>
          <w:rFonts w:ascii="Arial" w:hAnsi="Arial" w:cs="Arial"/>
          <w:b/>
          <w:bCs/>
          <w:sz w:val="24"/>
          <w:szCs w:val="24"/>
        </w:rPr>
        <w:t xml:space="preserve">Things are getting better but there are still issues across the labour market.  There are around 18,000 live vacancies in Liverpool City Region – the most we have ever had, but there are issues around the large number of roles vacant in certain sectors – </w:t>
      </w:r>
      <w:proofErr w:type="spellStart"/>
      <w:r w:rsidRPr="000E2560">
        <w:rPr>
          <w:rFonts w:ascii="Arial" w:hAnsi="Arial" w:cs="Arial"/>
          <w:b/>
          <w:bCs/>
          <w:sz w:val="24"/>
          <w:szCs w:val="24"/>
        </w:rPr>
        <w:t>eg</w:t>
      </w:r>
      <w:proofErr w:type="spellEnd"/>
      <w:r w:rsidRPr="000E2560">
        <w:rPr>
          <w:rFonts w:ascii="Arial" w:hAnsi="Arial" w:cs="Arial"/>
          <w:b/>
          <w:bCs/>
          <w:sz w:val="24"/>
          <w:szCs w:val="24"/>
        </w:rPr>
        <w:t xml:space="preserve">: Hospitality &amp; Catering. </w:t>
      </w:r>
    </w:p>
    <w:p w14:paraId="4DA4648F" w14:textId="77777777" w:rsidR="000E2560" w:rsidRPr="000E2560" w:rsidRDefault="000E2560" w:rsidP="000E2560">
      <w:pPr>
        <w:rPr>
          <w:rFonts w:ascii="Arial" w:hAnsi="Arial" w:cs="Arial"/>
          <w:b/>
          <w:bCs/>
          <w:sz w:val="24"/>
          <w:szCs w:val="24"/>
        </w:rPr>
      </w:pPr>
    </w:p>
    <w:p w14:paraId="36B294D2" w14:textId="77777777" w:rsidR="000E2560" w:rsidRPr="000E2560" w:rsidRDefault="000E2560" w:rsidP="000E2560">
      <w:pPr>
        <w:rPr>
          <w:rFonts w:ascii="Arial" w:hAnsi="Arial" w:cs="Arial"/>
          <w:b/>
          <w:bCs/>
          <w:sz w:val="24"/>
          <w:szCs w:val="24"/>
        </w:rPr>
      </w:pPr>
      <w:r w:rsidRPr="000E2560">
        <w:rPr>
          <w:rFonts w:ascii="Arial" w:hAnsi="Arial" w:cs="Arial"/>
          <w:b/>
          <w:bCs/>
          <w:sz w:val="24"/>
          <w:szCs w:val="24"/>
        </w:rPr>
        <w:t xml:space="preserve">Employees actually have a huge amount of sway and power – it is an </w:t>
      </w:r>
      <w:proofErr w:type="gramStart"/>
      <w:r w:rsidRPr="000E2560">
        <w:rPr>
          <w:rFonts w:ascii="Arial" w:hAnsi="Arial" w:cs="Arial"/>
          <w:b/>
          <w:bCs/>
          <w:sz w:val="24"/>
          <w:szCs w:val="24"/>
        </w:rPr>
        <w:t>employees</w:t>
      </w:r>
      <w:proofErr w:type="gramEnd"/>
      <w:r w:rsidRPr="000E2560">
        <w:rPr>
          <w:rFonts w:ascii="Arial" w:hAnsi="Arial" w:cs="Arial"/>
          <w:b/>
          <w:bCs/>
          <w:sz w:val="24"/>
          <w:szCs w:val="24"/>
        </w:rPr>
        <w:t xml:space="preserve">, rather than employers market but we are increasingly finding that young people in particular are finding it difficult to adapt to the labour market after years of remote, at-home working or learning. </w:t>
      </w:r>
    </w:p>
    <w:p w14:paraId="7C041214" w14:textId="77777777" w:rsidR="000E2560" w:rsidRPr="000E2560" w:rsidRDefault="000E2560" w:rsidP="000E2560">
      <w:pPr>
        <w:rPr>
          <w:rFonts w:ascii="Arial" w:hAnsi="Arial" w:cs="Arial"/>
          <w:b/>
          <w:bCs/>
          <w:sz w:val="24"/>
          <w:szCs w:val="24"/>
        </w:rPr>
      </w:pPr>
    </w:p>
    <w:p w14:paraId="433688A5" w14:textId="77777777" w:rsidR="000E2560" w:rsidRPr="000E2560" w:rsidRDefault="000E2560" w:rsidP="000E2560">
      <w:pPr>
        <w:rPr>
          <w:rFonts w:ascii="Arial" w:hAnsi="Arial" w:cs="Arial"/>
          <w:b/>
          <w:bCs/>
          <w:sz w:val="24"/>
          <w:szCs w:val="24"/>
        </w:rPr>
      </w:pPr>
      <w:r w:rsidRPr="000E2560">
        <w:rPr>
          <w:rFonts w:ascii="Arial" w:hAnsi="Arial" w:cs="Arial"/>
          <w:b/>
          <w:bCs/>
          <w:sz w:val="24"/>
          <w:szCs w:val="24"/>
        </w:rPr>
        <w:t xml:space="preserve">Our Youth Unemployment figures over the last 18 months have </w:t>
      </w:r>
      <w:proofErr w:type="gramStart"/>
      <w:r w:rsidRPr="000E2560">
        <w:rPr>
          <w:rFonts w:ascii="Arial" w:hAnsi="Arial" w:cs="Arial"/>
          <w:b/>
          <w:bCs/>
          <w:sz w:val="24"/>
          <w:szCs w:val="24"/>
        </w:rPr>
        <w:t>actually been</w:t>
      </w:r>
      <w:proofErr w:type="gramEnd"/>
      <w:r w:rsidRPr="000E2560">
        <w:rPr>
          <w:rFonts w:ascii="Arial" w:hAnsi="Arial" w:cs="Arial"/>
          <w:b/>
          <w:bCs/>
          <w:sz w:val="24"/>
          <w:szCs w:val="24"/>
        </w:rPr>
        <w:t xml:space="preserve"> better than most of the national rates, but the last quarter (up to December 2021) show a small rise in the number out of work. </w:t>
      </w:r>
    </w:p>
    <w:p w14:paraId="1E24F3B1" w14:textId="77777777" w:rsidR="000E2560" w:rsidRPr="000E2560" w:rsidRDefault="000E2560" w:rsidP="000E2560">
      <w:pPr>
        <w:rPr>
          <w:rFonts w:ascii="Arial" w:hAnsi="Arial" w:cs="Arial"/>
          <w:b/>
          <w:bCs/>
          <w:sz w:val="24"/>
          <w:szCs w:val="24"/>
        </w:rPr>
      </w:pPr>
    </w:p>
    <w:p w14:paraId="0AA5874D" w14:textId="77777777" w:rsidR="000E2560" w:rsidRPr="000E2560" w:rsidRDefault="000E2560" w:rsidP="000E2560">
      <w:pPr>
        <w:pStyle w:val="ListParagraph"/>
        <w:numPr>
          <w:ilvl w:val="0"/>
          <w:numId w:val="1"/>
        </w:numPr>
        <w:rPr>
          <w:rFonts w:ascii="Arial" w:hAnsi="Arial" w:cs="Arial"/>
          <w:sz w:val="24"/>
          <w:szCs w:val="24"/>
        </w:rPr>
      </w:pPr>
      <w:r w:rsidRPr="000E2560">
        <w:rPr>
          <w:rFonts w:ascii="Arial" w:hAnsi="Arial" w:cs="Arial"/>
          <w:sz w:val="24"/>
          <w:szCs w:val="24"/>
        </w:rPr>
        <w:t xml:space="preserve">Prior to the economic slowdown caused by the public health pandemic, the City Region’s economy was performing well.  Employment rates were high (and above Greater Manchester), unemployment was lower than national averages and the proportion of economically people was reducing.  Over the first three quarters of 2021; rates across employment, unemployment and economic inactivity have fluctuated, reaching recent highs, but the latest data released in April 2022 for the period of September – December 2021 show rates appear to be stabilising across the city region. Our employment levels remain </w:t>
      </w:r>
      <w:proofErr w:type="gramStart"/>
      <w:r w:rsidRPr="000E2560">
        <w:rPr>
          <w:rFonts w:ascii="Arial" w:hAnsi="Arial" w:cs="Arial"/>
          <w:sz w:val="24"/>
          <w:szCs w:val="24"/>
        </w:rPr>
        <w:t>higher</w:t>
      </w:r>
      <w:proofErr w:type="gramEnd"/>
      <w:r w:rsidRPr="000E2560">
        <w:rPr>
          <w:rFonts w:ascii="Arial" w:hAnsi="Arial" w:cs="Arial"/>
          <w:sz w:val="24"/>
          <w:szCs w:val="24"/>
        </w:rPr>
        <w:t xml:space="preserve"> and our unemployment levels remain lower than our regional average and we continue to see a reduction in our rates of economic inactivity.</w:t>
      </w:r>
    </w:p>
    <w:p w14:paraId="0B4438B8" w14:textId="77777777" w:rsidR="000E2560" w:rsidRPr="000E2560" w:rsidRDefault="000E2560" w:rsidP="000E2560">
      <w:pPr>
        <w:rPr>
          <w:rFonts w:ascii="Arial" w:hAnsi="Arial" w:cs="Arial"/>
          <w:sz w:val="24"/>
          <w:szCs w:val="24"/>
        </w:rPr>
      </w:pPr>
    </w:p>
    <w:p w14:paraId="5340909B" w14:textId="77777777" w:rsidR="000E2560" w:rsidRPr="000E2560" w:rsidRDefault="000E2560" w:rsidP="000E2560">
      <w:pPr>
        <w:pStyle w:val="ListParagraph"/>
        <w:numPr>
          <w:ilvl w:val="0"/>
          <w:numId w:val="1"/>
        </w:numPr>
        <w:jc w:val="both"/>
        <w:rPr>
          <w:rFonts w:ascii="Arial" w:hAnsi="Arial" w:cs="Arial"/>
          <w:sz w:val="24"/>
          <w:szCs w:val="24"/>
        </w:rPr>
      </w:pPr>
      <w:r w:rsidRPr="000E2560">
        <w:rPr>
          <w:rFonts w:ascii="Arial" w:hAnsi="Arial" w:cs="Arial"/>
          <w:sz w:val="24"/>
          <w:szCs w:val="24"/>
        </w:rPr>
        <w:t xml:space="preserve">During this period (September – December 2021), the unemployment rate in LCR decreased by 600 individuals, to a total of 33,100 unemployed people in the City Region, although the actual rate remained the same as the previous quarter at 4.6%. In England, the unemployment rate fell further from 5.0% to 4.6%. The </w:t>
      </w:r>
      <w:proofErr w:type="gramStart"/>
      <w:r w:rsidRPr="000E2560">
        <w:rPr>
          <w:rFonts w:ascii="Arial" w:hAnsi="Arial" w:cs="Arial"/>
          <w:sz w:val="24"/>
          <w:szCs w:val="24"/>
        </w:rPr>
        <w:t>North West</w:t>
      </w:r>
      <w:proofErr w:type="gramEnd"/>
      <w:r w:rsidRPr="000E2560">
        <w:rPr>
          <w:rFonts w:ascii="Arial" w:hAnsi="Arial" w:cs="Arial"/>
          <w:sz w:val="24"/>
          <w:szCs w:val="24"/>
        </w:rPr>
        <w:t xml:space="preserve"> rate dropped slightly at 4.7%. LCR’s unemployment rate continues to perform at the same rate as the national rate and outperforms the local regional rate.  </w:t>
      </w:r>
    </w:p>
    <w:p w14:paraId="6EF87920" w14:textId="77777777" w:rsidR="000E2560" w:rsidRPr="000E2560" w:rsidRDefault="000E2560" w:rsidP="000E2560">
      <w:pPr>
        <w:rPr>
          <w:rFonts w:ascii="Arial" w:hAnsi="Arial" w:cs="Arial"/>
          <w:sz w:val="24"/>
          <w:szCs w:val="24"/>
        </w:rPr>
      </w:pPr>
    </w:p>
    <w:p w14:paraId="4D4BB344" w14:textId="77777777" w:rsidR="000E2560" w:rsidRPr="000E2560" w:rsidRDefault="000E2560" w:rsidP="000E2560">
      <w:pPr>
        <w:pStyle w:val="ListParagraph"/>
        <w:numPr>
          <w:ilvl w:val="0"/>
          <w:numId w:val="1"/>
        </w:numPr>
        <w:jc w:val="both"/>
        <w:rPr>
          <w:rFonts w:ascii="Arial" w:hAnsi="Arial" w:cs="Arial"/>
          <w:sz w:val="24"/>
          <w:szCs w:val="24"/>
        </w:rPr>
      </w:pPr>
      <w:r w:rsidRPr="000E2560">
        <w:rPr>
          <w:rFonts w:ascii="Arial" w:hAnsi="Arial" w:cs="Arial"/>
          <w:sz w:val="24"/>
          <w:szCs w:val="24"/>
        </w:rPr>
        <w:lastRenderedPageBreak/>
        <w:t xml:space="preserve">The latest statistics from December 2021 show that employment has remained stable. The number of people in work in LCR slightly decreased by 1,000 people from 705,700 to 704,700; but the employment rate remained the same at 73.6%. The rates for England increased slightly to 75.1%, with the </w:t>
      </w:r>
      <w:proofErr w:type="gramStart"/>
      <w:r w:rsidRPr="000E2560">
        <w:rPr>
          <w:rFonts w:ascii="Arial" w:hAnsi="Arial" w:cs="Arial"/>
          <w:sz w:val="24"/>
          <w:szCs w:val="24"/>
        </w:rPr>
        <w:t>North West</w:t>
      </w:r>
      <w:proofErr w:type="gramEnd"/>
      <w:r w:rsidRPr="000E2560">
        <w:rPr>
          <w:rFonts w:ascii="Arial" w:hAnsi="Arial" w:cs="Arial"/>
          <w:sz w:val="24"/>
          <w:szCs w:val="24"/>
        </w:rPr>
        <w:t xml:space="preserve"> at 72.9%.</w:t>
      </w:r>
    </w:p>
    <w:p w14:paraId="6C290E3E" w14:textId="77777777" w:rsidR="000E2560" w:rsidRPr="000E2560" w:rsidRDefault="000E2560" w:rsidP="000E2560">
      <w:pPr>
        <w:pStyle w:val="ListParagraph"/>
        <w:rPr>
          <w:rFonts w:ascii="Arial" w:hAnsi="Arial" w:cs="Arial"/>
          <w:sz w:val="24"/>
          <w:szCs w:val="24"/>
        </w:rPr>
      </w:pPr>
    </w:p>
    <w:p w14:paraId="7E1458DB" w14:textId="77777777" w:rsidR="000E2560" w:rsidRPr="000E2560" w:rsidRDefault="000E2560" w:rsidP="000E2560">
      <w:pPr>
        <w:pStyle w:val="ListParagraph"/>
        <w:numPr>
          <w:ilvl w:val="0"/>
          <w:numId w:val="1"/>
        </w:numPr>
        <w:jc w:val="both"/>
        <w:rPr>
          <w:rFonts w:ascii="Arial" w:eastAsia="Times New Roman" w:hAnsi="Arial" w:cs="Arial"/>
          <w:sz w:val="24"/>
          <w:szCs w:val="24"/>
        </w:rPr>
      </w:pPr>
      <w:r w:rsidRPr="000E2560">
        <w:rPr>
          <w:rFonts w:ascii="Arial" w:hAnsi="Arial" w:cs="Arial"/>
          <w:sz w:val="24"/>
          <w:szCs w:val="24"/>
        </w:rPr>
        <w:t xml:space="preserve">Economic inactivity remains higher than the national average but has defied the trends seen nationally and in the </w:t>
      </w:r>
      <w:proofErr w:type="gramStart"/>
      <w:r w:rsidRPr="000E2560">
        <w:rPr>
          <w:rFonts w:ascii="Arial" w:hAnsi="Arial" w:cs="Arial"/>
          <w:sz w:val="24"/>
          <w:szCs w:val="24"/>
        </w:rPr>
        <w:t>North West</w:t>
      </w:r>
      <w:proofErr w:type="gramEnd"/>
      <w:r w:rsidRPr="000E2560">
        <w:rPr>
          <w:rFonts w:ascii="Arial" w:hAnsi="Arial" w:cs="Arial"/>
          <w:sz w:val="24"/>
          <w:szCs w:val="24"/>
        </w:rPr>
        <w:t xml:space="preserve"> this quarter. A decrease of 500 individuals during September – December 2021 kept our rate stable at 22.9%, a recent low. England saw increases to 21.3% and the </w:t>
      </w:r>
      <w:proofErr w:type="gramStart"/>
      <w:r w:rsidRPr="000E2560">
        <w:rPr>
          <w:rFonts w:ascii="Arial" w:hAnsi="Arial" w:cs="Arial"/>
          <w:sz w:val="24"/>
          <w:szCs w:val="24"/>
        </w:rPr>
        <w:t>North West</w:t>
      </w:r>
      <w:proofErr w:type="gramEnd"/>
      <w:r w:rsidRPr="000E2560">
        <w:rPr>
          <w:rFonts w:ascii="Arial" w:hAnsi="Arial" w:cs="Arial"/>
          <w:sz w:val="24"/>
          <w:szCs w:val="24"/>
        </w:rPr>
        <w:t xml:space="preserve"> rate increased to 23.5%.</w:t>
      </w:r>
    </w:p>
    <w:p w14:paraId="6DA1BEF8" w14:textId="77777777" w:rsidR="000E2560" w:rsidRPr="000E2560" w:rsidRDefault="000E2560" w:rsidP="000E2560">
      <w:pPr>
        <w:rPr>
          <w:rFonts w:ascii="Arial" w:hAnsi="Arial" w:cs="Arial"/>
          <w:sz w:val="24"/>
          <w:szCs w:val="24"/>
        </w:rPr>
      </w:pPr>
    </w:p>
    <w:p w14:paraId="71282235" w14:textId="77777777" w:rsidR="000E2560" w:rsidRPr="000E2560" w:rsidRDefault="000E2560" w:rsidP="000E2560">
      <w:pPr>
        <w:pStyle w:val="ListParagraph"/>
        <w:numPr>
          <w:ilvl w:val="0"/>
          <w:numId w:val="1"/>
        </w:numPr>
        <w:jc w:val="both"/>
        <w:rPr>
          <w:rFonts w:ascii="Arial" w:hAnsi="Arial" w:cs="Arial"/>
          <w:sz w:val="24"/>
          <w:szCs w:val="24"/>
        </w:rPr>
      </w:pPr>
      <w:r w:rsidRPr="000E2560">
        <w:rPr>
          <w:rFonts w:ascii="Arial" w:hAnsi="Arial" w:cs="Arial"/>
          <w:sz w:val="24"/>
          <w:szCs w:val="24"/>
        </w:rPr>
        <w:t xml:space="preserve">With the overall fall in unemployment across the city region, the number of claimants to Universal Credit continued to stabilise. The number of individuals on Universal Credit classed as ‘searching, planning or preparing for work’ in March 2022 was 59,995. This represented an increase of around 500 compared with January 2022.  </w:t>
      </w:r>
    </w:p>
    <w:p w14:paraId="2BB53DAC" w14:textId="77777777" w:rsidR="000E2560" w:rsidRPr="000E2560" w:rsidRDefault="000E2560" w:rsidP="000E2560">
      <w:pPr>
        <w:rPr>
          <w:rFonts w:ascii="Arial" w:hAnsi="Arial" w:cs="Arial"/>
          <w:sz w:val="24"/>
          <w:szCs w:val="24"/>
        </w:rPr>
      </w:pPr>
    </w:p>
    <w:p w14:paraId="630BB10B" w14:textId="77777777" w:rsidR="000E2560" w:rsidRPr="000E2560" w:rsidRDefault="000E2560" w:rsidP="000E2560">
      <w:pPr>
        <w:pStyle w:val="ListParagraph"/>
        <w:numPr>
          <w:ilvl w:val="0"/>
          <w:numId w:val="1"/>
        </w:numPr>
        <w:jc w:val="both"/>
        <w:rPr>
          <w:rFonts w:ascii="Arial" w:hAnsi="Arial" w:cs="Arial"/>
          <w:sz w:val="24"/>
          <w:szCs w:val="24"/>
        </w:rPr>
      </w:pPr>
      <w:r w:rsidRPr="000E2560">
        <w:rPr>
          <w:rFonts w:ascii="Arial" w:hAnsi="Arial" w:cs="Arial"/>
          <w:sz w:val="24"/>
          <w:szCs w:val="24"/>
        </w:rPr>
        <w:t xml:space="preserve">Unfortunately, for those young people aged 16-24, unemployment rose from 12.1% to 13.2%, increasing by 1,500 individuals. This is higher than the national rate from 12.9%.  In total, there are 13,300 16–24-year-olds classed as unemployed by the Office for National Statistics. Youth Employment 16-24 did however rise 85,700 to 87,400 in LCR, a rate increase to 51.6%. The national employment rate for </w:t>
      </w:r>
      <w:proofErr w:type="gramStart"/>
      <w:r w:rsidRPr="000E2560">
        <w:rPr>
          <w:rFonts w:ascii="Arial" w:hAnsi="Arial" w:cs="Arial"/>
          <w:sz w:val="24"/>
          <w:szCs w:val="24"/>
        </w:rPr>
        <w:t>16-24 year olds</w:t>
      </w:r>
      <w:proofErr w:type="gramEnd"/>
      <w:r w:rsidRPr="000E2560">
        <w:rPr>
          <w:rFonts w:ascii="Arial" w:hAnsi="Arial" w:cs="Arial"/>
          <w:sz w:val="24"/>
          <w:szCs w:val="24"/>
        </w:rPr>
        <w:t xml:space="preserve"> is 56%. There are 66,500 </w:t>
      </w:r>
      <w:proofErr w:type="gramStart"/>
      <w:r w:rsidRPr="000E2560">
        <w:rPr>
          <w:rFonts w:ascii="Arial" w:hAnsi="Arial" w:cs="Arial"/>
          <w:sz w:val="24"/>
          <w:szCs w:val="24"/>
        </w:rPr>
        <w:t>16-24 year-olds</w:t>
      </w:r>
      <w:proofErr w:type="gramEnd"/>
      <w:r w:rsidRPr="000E2560">
        <w:rPr>
          <w:rFonts w:ascii="Arial" w:hAnsi="Arial" w:cs="Arial"/>
          <w:sz w:val="24"/>
          <w:szCs w:val="24"/>
        </w:rPr>
        <w:t xml:space="preserve"> classed as economically inactive in LCR, at a rate of 39.8% - this is a fall from the previous quarter of 3,800 people.</w:t>
      </w:r>
    </w:p>
    <w:p w14:paraId="5293F0BA" w14:textId="77777777" w:rsidR="000E2560" w:rsidRPr="000E2560" w:rsidRDefault="000E2560" w:rsidP="000E2560">
      <w:pPr>
        <w:rPr>
          <w:rFonts w:ascii="Arial" w:hAnsi="Arial" w:cs="Arial"/>
          <w:sz w:val="24"/>
          <w:szCs w:val="24"/>
        </w:rPr>
      </w:pPr>
    </w:p>
    <w:tbl>
      <w:tblPr>
        <w:tblW w:w="9232" w:type="dxa"/>
        <w:tblCellMar>
          <w:left w:w="0" w:type="dxa"/>
          <w:right w:w="0" w:type="dxa"/>
        </w:tblCellMar>
        <w:tblLook w:val="04A0" w:firstRow="1" w:lastRow="0" w:firstColumn="1" w:lastColumn="0" w:noHBand="0" w:noVBand="1"/>
      </w:tblPr>
      <w:tblGrid>
        <w:gridCol w:w="3127"/>
        <w:gridCol w:w="6105"/>
      </w:tblGrid>
      <w:tr w:rsidR="000E2560" w:rsidRPr="000E2560" w14:paraId="73437CE7" w14:textId="77777777" w:rsidTr="000E2560">
        <w:trPr>
          <w:trHeight w:val="944"/>
        </w:trPr>
        <w:tc>
          <w:tcPr>
            <w:tcW w:w="0" w:type="auto"/>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086E178" w14:textId="77777777" w:rsidR="000E2560" w:rsidRPr="000E2560" w:rsidRDefault="000E2560">
            <w:pPr>
              <w:pStyle w:val="ListParagraph"/>
              <w:spacing w:after="0" w:line="240" w:lineRule="auto"/>
              <w:ind w:left="0" w:hanging="14"/>
              <w:jc w:val="both"/>
              <w:rPr>
                <w:rFonts w:ascii="Arial" w:hAnsi="Arial" w:cs="Arial"/>
                <w:color w:val="FFFFFF"/>
                <w:sz w:val="24"/>
                <w:szCs w:val="24"/>
              </w:rPr>
            </w:pPr>
            <w:r w:rsidRPr="000E2560">
              <w:rPr>
                <w:rFonts w:ascii="Arial" w:hAnsi="Arial" w:cs="Arial"/>
                <w:b/>
                <w:bCs/>
                <w:color w:val="FFFFFF"/>
                <w:sz w:val="24"/>
                <w:szCs w:val="24"/>
              </w:rPr>
              <w:t>Local Authority</w:t>
            </w:r>
          </w:p>
        </w:tc>
        <w:tc>
          <w:tcPr>
            <w:tcW w:w="0" w:type="auto"/>
            <w:tcBorders>
              <w:top w:val="single" w:sz="8" w:space="0" w:color="FFFFFF"/>
              <w:left w:val="nil"/>
              <w:bottom w:val="single" w:sz="24" w:space="0" w:color="FFFFFF"/>
              <w:right w:val="single" w:sz="8" w:space="0" w:color="FFFFFF"/>
            </w:tcBorders>
            <w:shd w:val="clear" w:color="auto" w:fill="4472C4"/>
            <w:tcMar>
              <w:top w:w="72" w:type="dxa"/>
              <w:left w:w="144" w:type="dxa"/>
              <w:bottom w:w="72" w:type="dxa"/>
              <w:right w:w="144" w:type="dxa"/>
            </w:tcMar>
            <w:hideMark/>
          </w:tcPr>
          <w:p w14:paraId="21848087" w14:textId="77777777" w:rsidR="000E2560" w:rsidRPr="000E2560" w:rsidRDefault="000E2560">
            <w:pPr>
              <w:pStyle w:val="ListParagraph"/>
              <w:spacing w:after="0" w:line="240" w:lineRule="auto"/>
              <w:ind w:left="63"/>
              <w:jc w:val="center"/>
              <w:rPr>
                <w:rFonts w:ascii="Arial" w:hAnsi="Arial" w:cs="Arial"/>
                <w:color w:val="FFFFFF"/>
                <w:sz w:val="24"/>
                <w:szCs w:val="24"/>
              </w:rPr>
            </w:pPr>
            <w:r w:rsidRPr="000E2560">
              <w:rPr>
                <w:rFonts w:ascii="Arial" w:hAnsi="Arial" w:cs="Arial"/>
                <w:b/>
                <w:bCs/>
                <w:color w:val="FFFFFF"/>
                <w:sz w:val="24"/>
                <w:szCs w:val="24"/>
              </w:rPr>
              <w:t>No. Of Live Vacancies [April 2022]</w:t>
            </w:r>
          </w:p>
        </w:tc>
      </w:tr>
      <w:tr w:rsidR="000E2560" w:rsidRPr="000E2560" w14:paraId="11B732F3" w14:textId="77777777" w:rsidTr="000E2560">
        <w:trPr>
          <w:trHeight w:val="214"/>
        </w:trPr>
        <w:tc>
          <w:tcPr>
            <w:tcW w:w="0" w:type="auto"/>
            <w:tcBorders>
              <w:top w:val="nil"/>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F1B9D27" w14:textId="77777777" w:rsidR="000E2560" w:rsidRPr="000E2560" w:rsidRDefault="000E2560">
            <w:pPr>
              <w:pStyle w:val="ListParagraph"/>
              <w:spacing w:after="0" w:line="240" w:lineRule="auto"/>
              <w:ind w:left="0" w:hanging="14"/>
              <w:rPr>
                <w:rFonts w:ascii="Arial" w:hAnsi="Arial" w:cs="Arial"/>
                <w:sz w:val="24"/>
                <w:szCs w:val="24"/>
              </w:rPr>
            </w:pPr>
            <w:r w:rsidRPr="000E2560">
              <w:rPr>
                <w:rFonts w:ascii="Arial" w:hAnsi="Arial" w:cs="Arial"/>
                <w:color w:val="000000"/>
                <w:sz w:val="24"/>
                <w:szCs w:val="24"/>
              </w:rPr>
              <w:t>Halton</w:t>
            </w:r>
          </w:p>
        </w:tc>
        <w:tc>
          <w:tcPr>
            <w:tcW w:w="0" w:type="auto"/>
            <w:tcBorders>
              <w:top w:val="nil"/>
              <w:left w:val="nil"/>
              <w:bottom w:val="single" w:sz="8" w:space="0" w:color="FFFFFF"/>
              <w:right w:val="single" w:sz="8" w:space="0" w:color="FFFFFF"/>
            </w:tcBorders>
            <w:shd w:val="clear" w:color="auto" w:fill="CFD5EA"/>
            <w:tcMar>
              <w:top w:w="72" w:type="dxa"/>
              <w:left w:w="144" w:type="dxa"/>
              <w:bottom w:w="72" w:type="dxa"/>
              <w:right w:w="144" w:type="dxa"/>
            </w:tcMar>
            <w:hideMark/>
          </w:tcPr>
          <w:p w14:paraId="6168EF75" w14:textId="77777777" w:rsidR="000E2560" w:rsidRPr="000E2560" w:rsidRDefault="000E2560">
            <w:pPr>
              <w:pStyle w:val="ListParagraph"/>
              <w:spacing w:after="0" w:line="240" w:lineRule="auto"/>
              <w:ind w:left="63"/>
              <w:jc w:val="center"/>
              <w:rPr>
                <w:rFonts w:ascii="Arial" w:hAnsi="Arial" w:cs="Arial"/>
                <w:sz w:val="24"/>
                <w:szCs w:val="24"/>
              </w:rPr>
            </w:pPr>
            <w:r w:rsidRPr="000E2560">
              <w:rPr>
                <w:rFonts w:ascii="Arial" w:hAnsi="Arial" w:cs="Arial"/>
                <w:color w:val="000000"/>
                <w:sz w:val="24"/>
                <w:szCs w:val="24"/>
              </w:rPr>
              <w:t>1867</w:t>
            </w:r>
          </w:p>
        </w:tc>
      </w:tr>
      <w:tr w:rsidR="000E2560" w:rsidRPr="000E2560" w14:paraId="7E6BFFD4" w14:textId="77777777" w:rsidTr="000E2560">
        <w:trPr>
          <w:trHeight w:val="214"/>
        </w:trPr>
        <w:tc>
          <w:tcPr>
            <w:tcW w:w="0" w:type="auto"/>
            <w:tcBorders>
              <w:top w:val="nil"/>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C2A46C8" w14:textId="77777777" w:rsidR="000E2560" w:rsidRPr="000E2560" w:rsidRDefault="000E2560">
            <w:pPr>
              <w:pStyle w:val="ListParagraph"/>
              <w:spacing w:after="0" w:line="240" w:lineRule="auto"/>
              <w:ind w:left="0" w:hanging="14"/>
              <w:rPr>
                <w:rFonts w:ascii="Arial" w:hAnsi="Arial" w:cs="Arial"/>
                <w:sz w:val="24"/>
                <w:szCs w:val="24"/>
              </w:rPr>
            </w:pPr>
            <w:r w:rsidRPr="000E2560">
              <w:rPr>
                <w:rFonts w:ascii="Arial" w:hAnsi="Arial" w:cs="Arial"/>
                <w:color w:val="000000"/>
                <w:sz w:val="24"/>
                <w:szCs w:val="24"/>
              </w:rPr>
              <w:t>Knowsley</w:t>
            </w:r>
          </w:p>
        </w:tc>
        <w:tc>
          <w:tcPr>
            <w:tcW w:w="0" w:type="auto"/>
            <w:tcBorders>
              <w:top w:val="nil"/>
              <w:left w:val="nil"/>
              <w:bottom w:val="single" w:sz="8" w:space="0" w:color="FFFFFF"/>
              <w:right w:val="single" w:sz="8" w:space="0" w:color="FFFFFF"/>
            </w:tcBorders>
            <w:shd w:val="clear" w:color="auto" w:fill="E9EBF5"/>
            <w:tcMar>
              <w:top w:w="72" w:type="dxa"/>
              <w:left w:w="144" w:type="dxa"/>
              <w:bottom w:w="72" w:type="dxa"/>
              <w:right w:w="144" w:type="dxa"/>
            </w:tcMar>
            <w:hideMark/>
          </w:tcPr>
          <w:p w14:paraId="3CEA2A78" w14:textId="77777777" w:rsidR="000E2560" w:rsidRPr="000E2560" w:rsidRDefault="000E2560">
            <w:pPr>
              <w:pStyle w:val="ListParagraph"/>
              <w:spacing w:after="0" w:line="240" w:lineRule="auto"/>
              <w:ind w:left="63"/>
              <w:jc w:val="center"/>
              <w:rPr>
                <w:rFonts w:ascii="Arial" w:hAnsi="Arial" w:cs="Arial"/>
                <w:sz w:val="24"/>
                <w:szCs w:val="24"/>
              </w:rPr>
            </w:pPr>
            <w:r w:rsidRPr="000E2560">
              <w:rPr>
                <w:rFonts w:ascii="Arial" w:hAnsi="Arial" w:cs="Arial"/>
                <w:color w:val="000000"/>
                <w:sz w:val="24"/>
                <w:szCs w:val="24"/>
              </w:rPr>
              <w:t>1019</w:t>
            </w:r>
          </w:p>
        </w:tc>
      </w:tr>
      <w:tr w:rsidR="000E2560" w:rsidRPr="000E2560" w14:paraId="363198C5" w14:textId="77777777" w:rsidTr="000E2560">
        <w:trPr>
          <w:trHeight w:val="214"/>
        </w:trPr>
        <w:tc>
          <w:tcPr>
            <w:tcW w:w="0" w:type="auto"/>
            <w:tcBorders>
              <w:top w:val="nil"/>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04257BD" w14:textId="77777777" w:rsidR="000E2560" w:rsidRPr="000E2560" w:rsidRDefault="000E2560">
            <w:pPr>
              <w:pStyle w:val="ListParagraph"/>
              <w:spacing w:after="0" w:line="240" w:lineRule="auto"/>
              <w:ind w:left="0" w:hanging="14"/>
              <w:rPr>
                <w:rFonts w:ascii="Arial" w:hAnsi="Arial" w:cs="Arial"/>
                <w:sz w:val="24"/>
                <w:szCs w:val="24"/>
              </w:rPr>
            </w:pPr>
            <w:r w:rsidRPr="000E2560">
              <w:rPr>
                <w:rFonts w:ascii="Arial" w:hAnsi="Arial" w:cs="Arial"/>
                <w:color w:val="000000"/>
                <w:sz w:val="24"/>
                <w:szCs w:val="24"/>
              </w:rPr>
              <w:t>Liverpool</w:t>
            </w:r>
          </w:p>
        </w:tc>
        <w:tc>
          <w:tcPr>
            <w:tcW w:w="0" w:type="auto"/>
            <w:tcBorders>
              <w:top w:val="nil"/>
              <w:left w:val="nil"/>
              <w:bottom w:val="single" w:sz="8" w:space="0" w:color="FFFFFF"/>
              <w:right w:val="single" w:sz="8" w:space="0" w:color="FFFFFF"/>
            </w:tcBorders>
            <w:shd w:val="clear" w:color="auto" w:fill="CFD5EA"/>
            <w:tcMar>
              <w:top w:w="72" w:type="dxa"/>
              <w:left w:w="144" w:type="dxa"/>
              <w:bottom w:w="72" w:type="dxa"/>
              <w:right w:w="144" w:type="dxa"/>
            </w:tcMar>
            <w:hideMark/>
          </w:tcPr>
          <w:p w14:paraId="5C2C9A8A" w14:textId="77777777" w:rsidR="000E2560" w:rsidRPr="000E2560" w:rsidRDefault="000E2560">
            <w:pPr>
              <w:pStyle w:val="ListParagraph"/>
              <w:spacing w:after="0" w:line="240" w:lineRule="auto"/>
              <w:ind w:left="63"/>
              <w:jc w:val="center"/>
              <w:rPr>
                <w:rFonts w:ascii="Arial" w:hAnsi="Arial" w:cs="Arial"/>
                <w:sz w:val="24"/>
                <w:szCs w:val="24"/>
              </w:rPr>
            </w:pPr>
            <w:r w:rsidRPr="000E2560">
              <w:rPr>
                <w:rFonts w:ascii="Arial" w:hAnsi="Arial" w:cs="Arial"/>
                <w:color w:val="000000"/>
                <w:sz w:val="24"/>
                <w:szCs w:val="24"/>
              </w:rPr>
              <w:t>11853</w:t>
            </w:r>
          </w:p>
        </w:tc>
      </w:tr>
      <w:tr w:rsidR="000E2560" w:rsidRPr="000E2560" w14:paraId="0C2EE8CE" w14:textId="77777777" w:rsidTr="000E2560">
        <w:trPr>
          <w:trHeight w:val="214"/>
        </w:trPr>
        <w:tc>
          <w:tcPr>
            <w:tcW w:w="0" w:type="auto"/>
            <w:tcBorders>
              <w:top w:val="nil"/>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27BE81FA" w14:textId="77777777" w:rsidR="000E2560" w:rsidRPr="000E2560" w:rsidRDefault="000E2560">
            <w:pPr>
              <w:pStyle w:val="ListParagraph"/>
              <w:spacing w:after="0" w:line="240" w:lineRule="auto"/>
              <w:ind w:left="0" w:hanging="14"/>
              <w:rPr>
                <w:rFonts w:ascii="Arial" w:hAnsi="Arial" w:cs="Arial"/>
                <w:sz w:val="24"/>
                <w:szCs w:val="24"/>
              </w:rPr>
            </w:pPr>
            <w:r w:rsidRPr="000E2560">
              <w:rPr>
                <w:rFonts w:ascii="Arial" w:hAnsi="Arial" w:cs="Arial"/>
                <w:color w:val="000000"/>
                <w:sz w:val="24"/>
                <w:szCs w:val="24"/>
              </w:rPr>
              <w:t>Sefton</w:t>
            </w:r>
          </w:p>
        </w:tc>
        <w:tc>
          <w:tcPr>
            <w:tcW w:w="0" w:type="auto"/>
            <w:tcBorders>
              <w:top w:val="nil"/>
              <w:left w:val="nil"/>
              <w:bottom w:val="single" w:sz="8" w:space="0" w:color="FFFFFF"/>
              <w:right w:val="single" w:sz="8" w:space="0" w:color="FFFFFF"/>
            </w:tcBorders>
            <w:shd w:val="clear" w:color="auto" w:fill="E9EBF5"/>
            <w:tcMar>
              <w:top w:w="72" w:type="dxa"/>
              <w:left w:w="144" w:type="dxa"/>
              <w:bottom w:w="72" w:type="dxa"/>
              <w:right w:w="144" w:type="dxa"/>
            </w:tcMar>
            <w:hideMark/>
          </w:tcPr>
          <w:p w14:paraId="528D2771" w14:textId="77777777" w:rsidR="000E2560" w:rsidRPr="000E2560" w:rsidRDefault="000E2560">
            <w:pPr>
              <w:pStyle w:val="ListParagraph"/>
              <w:spacing w:after="0" w:line="240" w:lineRule="auto"/>
              <w:ind w:left="63"/>
              <w:jc w:val="center"/>
              <w:rPr>
                <w:rFonts w:ascii="Arial" w:hAnsi="Arial" w:cs="Arial"/>
                <w:sz w:val="24"/>
                <w:szCs w:val="24"/>
              </w:rPr>
            </w:pPr>
            <w:r w:rsidRPr="000E2560">
              <w:rPr>
                <w:rFonts w:ascii="Arial" w:hAnsi="Arial" w:cs="Arial"/>
                <w:color w:val="000000"/>
                <w:sz w:val="24"/>
                <w:szCs w:val="24"/>
              </w:rPr>
              <w:t>1295</w:t>
            </w:r>
          </w:p>
        </w:tc>
      </w:tr>
      <w:tr w:rsidR="000E2560" w:rsidRPr="000E2560" w14:paraId="0E6FC11F" w14:textId="77777777" w:rsidTr="000E2560">
        <w:trPr>
          <w:trHeight w:val="214"/>
        </w:trPr>
        <w:tc>
          <w:tcPr>
            <w:tcW w:w="0" w:type="auto"/>
            <w:tcBorders>
              <w:top w:val="nil"/>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EA5D6A3" w14:textId="77777777" w:rsidR="000E2560" w:rsidRPr="000E2560" w:rsidRDefault="000E2560">
            <w:pPr>
              <w:pStyle w:val="ListParagraph"/>
              <w:spacing w:after="0" w:line="240" w:lineRule="auto"/>
              <w:ind w:left="0" w:hanging="14"/>
              <w:rPr>
                <w:rFonts w:ascii="Arial" w:hAnsi="Arial" w:cs="Arial"/>
                <w:sz w:val="24"/>
                <w:szCs w:val="24"/>
              </w:rPr>
            </w:pPr>
            <w:r w:rsidRPr="000E2560">
              <w:rPr>
                <w:rFonts w:ascii="Arial" w:hAnsi="Arial" w:cs="Arial"/>
                <w:color w:val="000000"/>
                <w:sz w:val="24"/>
                <w:szCs w:val="24"/>
              </w:rPr>
              <w:t>St Helens</w:t>
            </w:r>
          </w:p>
        </w:tc>
        <w:tc>
          <w:tcPr>
            <w:tcW w:w="0" w:type="auto"/>
            <w:tcBorders>
              <w:top w:val="nil"/>
              <w:left w:val="nil"/>
              <w:bottom w:val="single" w:sz="8" w:space="0" w:color="FFFFFF"/>
              <w:right w:val="single" w:sz="8" w:space="0" w:color="FFFFFF"/>
            </w:tcBorders>
            <w:shd w:val="clear" w:color="auto" w:fill="CFD5EA"/>
            <w:tcMar>
              <w:top w:w="72" w:type="dxa"/>
              <w:left w:w="144" w:type="dxa"/>
              <w:bottom w:w="72" w:type="dxa"/>
              <w:right w:w="144" w:type="dxa"/>
            </w:tcMar>
            <w:hideMark/>
          </w:tcPr>
          <w:p w14:paraId="3B282712" w14:textId="77777777" w:rsidR="000E2560" w:rsidRPr="000E2560" w:rsidRDefault="000E2560">
            <w:pPr>
              <w:pStyle w:val="ListParagraph"/>
              <w:spacing w:after="0" w:line="240" w:lineRule="auto"/>
              <w:ind w:left="63"/>
              <w:jc w:val="center"/>
              <w:rPr>
                <w:rFonts w:ascii="Arial" w:hAnsi="Arial" w:cs="Arial"/>
                <w:sz w:val="24"/>
                <w:szCs w:val="24"/>
              </w:rPr>
            </w:pPr>
            <w:r w:rsidRPr="000E2560">
              <w:rPr>
                <w:rFonts w:ascii="Arial" w:hAnsi="Arial" w:cs="Arial"/>
                <w:color w:val="000000"/>
                <w:sz w:val="24"/>
                <w:szCs w:val="24"/>
              </w:rPr>
              <w:t>1112</w:t>
            </w:r>
          </w:p>
        </w:tc>
      </w:tr>
      <w:tr w:rsidR="000E2560" w:rsidRPr="000E2560" w14:paraId="435352EE" w14:textId="77777777" w:rsidTr="000E2560">
        <w:trPr>
          <w:trHeight w:val="214"/>
        </w:trPr>
        <w:tc>
          <w:tcPr>
            <w:tcW w:w="0" w:type="auto"/>
            <w:tcBorders>
              <w:top w:val="nil"/>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0508518" w14:textId="77777777" w:rsidR="000E2560" w:rsidRPr="000E2560" w:rsidRDefault="000E2560">
            <w:pPr>
              <w:pStyle w:val="ListParagraph"/>
              <w:spacing w:after="0" w:line="240" w:lineRule="auto"/>
              <w:ind w:left="0" w:hanging="14"/>
              <w:rPr>
                <w:rFonts w:ascii="Arial" w:hAnsi="Arial" w:cs="Arial"/>
                <w:sz w:val="24"/>
                <w:szCs w:val="24"/>
              </w:rPr>
            </w:pPr>
            <w:r w:rsidRPr="000E2560">
              <w:rPr>
                <w:rFonts w:ascii="Arial" w:hAnsi="Arial" w:cs="Arial"/>
                <w:color w:val="000000"/>
                <w:sz w:val="24"/>
                <w:szCs w:val="24"/>
              </w:rPr>
              <w:t>Wirral</w:t>
            </w:r>
          </w:p>
        </w:tc>
        <w:tc>
          <w:tcPr>
            <w:tcW w:w="0" w:type="auto"/>
            <w:tcBorders>
              <w:top w:val="nil"/>
              <w:left w:val="nil"/>
              <w:bottom w:val="single" w:sz="8" w:space="0" w:color="FFFFFF"/>
              <w:right w:val="single" w:sz="8" w:space="0" w:color="FFFFFF"/>
            </w:tcBorders>
            <w:shd w:val="clear" w:color="auto" w:fill="E9EBF5"/>
            <w:tcMar>
              <w:top w:w="72" w:type="dxa"/>
              <w:left w:w="144" w:type="dxa"/>
              <w:bottom w:w="72" w:type="dxa"/>
              <w:right w:w="144" w:type="dxa"/>
            </w:tcMar>
            <w:hideMark/>
          </w:tcPr>
          <w:p w14:paraId="5C0EEAD2" w14:textId="77777777" w:rsidR="000E2560" w:rsidRPr="000E2560" w:rsidRDefault="000E2560">
            <w:pPr>
              <w:pStyle w:val="ListParagraph"/>
              <w:spacing w:after="0" w:line="240" w:lineRule="auto"/>
              <w:ind w:left="63"/>
              <w:jc w:val="center"/>
              <w:rPr>
                <w:rFonts w:ascii="Arial" w:hAnsi="Arial" w:cs="Arial"/>
                <w:sz w:val="24"/>
                <w:szCs w:val="24"/>
              </w:rPr>
            </w:pPr>
            <w:r w:rsidRPr="000E2560">
              <w:rPr>
                <w:rFonts w:ascii="Arial" w:hAnsi="Arial" w:cs="Arial"/>
                <w:color w:val="000000"/>
                <w:sz w:val="24"/>
                <w:szCs w:val="24"/>
              </w:rPr>
              <w:t>1959</w:t>
            </w:r>
          </w:p>
        </w:tc>
      </w:tr>
      <w:tr w:rsidR="000E2560" w:rsidRPr="000E2560" w14:paraId="6EF5A513" w14:textId="77777777" w:rsidTr="000E2560">
        <w:trPr>
          <w:trHeight w:val="403"/>
        </w:trPr>
        <w:tc>
          <w:tcPr>
            <w:tcW w:w="0" w:type="auto"/>
            <w:tcBorders>
              <w:top w:val="nil"/>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EA149BA" w14:textId="77777777" w:rsidR="000E2560" w:rsidRPr="000E2560" w:rsidRDefault="000E2560">
            <w:pPr>
              <w:pStyle w:val="ListParagraph"/>
              <w:spacing w:after="0" w:line="240" w:lineRule="auto"/>
              <w:ind w:left="0" w:hanging="14"/>
              <w:rPr>
                <w:rFonts w:ascii="Arial" w:hAnsi="Arial" w:cs="Arial"/>
                <w:b/>
                <w:bCs/>
                <w:sz w:val="24"/>
                <w:szCs w:val="24"/>
              </w:rPr>
            </w:pPr>
            <w:r w:rsidRPr="000E2560">
              <w:rPr>
                <w:rFonts w:ascii="Arial" w:hAnsi="Arial" w:cs="Arial"/>
                <w:b/>
                <w:bCs/>
                <w:color w:val="000000"/>
                <w:sz w:val="24"/>
                <w:szCs w:val="24"/>
              </w:rPr>
              <w:t>LCR</w:t>
            </w:r>
          </w:p>
        </w:tc>
        <w:tc>
          <w:tcPr>
            <w:tcW w:w="0" w:type="auto"/>
            <w:tcBorders>
              <w:top w:val="nil"/>
              <w:left w:val="nil"/>
              <w:bottom w:val="single" w:sz="8" w:space="0" w:color="FFFFFF"/>
              <w:right w:val="single" w:sz="8" w:space="0" w:color="FFFFFF"/>
            </w:tcBorders>
            <w:shd w:val="clear" w:color="auto" w:fill="CFD5EA"/>
            <w:tcMar>
              <w:top w:w="72" w:type="dxa"/>
              <w:left w:w="144" w:type="dxa"/>
              <w:bottom w:w="72" w:type="dxa"/>
              <w:right w:w="144" w:type="dxa"/>
            </w:tcMar>
            <w:hideMark/>
          </w:tcPr>
          <w:p w14:paraId="3C965989" w14:textId="77777777" w:rsidR="000E2560" w:rsidRPr="000E2560" w:rsidRDefault="000E2560">
            <w:pPr>
              <w:pStyle w:val="ListParagraph"/>
              <w:spacing w:after="0" w:line="240" w:lineRule="auto"/>
              <w:ind w:left="63"/>
              <w:jc w:val="center"/>
              <w:rPr>
                <w:rFonts w:ascii="Arial" w:hAnsi="Arial" w:cs="Arial"/>
                <w:b/>
                <w:bCs/>
                <w:sz w:val="24"/>
                <w:szCs w:val="24"/>
              </w:rPr>
            </w:pPr>
            <w:r w:rsidRPr="000E2560">
              <w:rPr>
                <w:rFonts w:ascii="Arial" w:hAnsi="Arial" w:cs="Arial"/>
                <w:b/>
                <w:bCs/>
                <w:color w:val="000000"/>
                <w:sz w:val="24"/>
                <w:szCs w:val="24"/>
              </w:rPr>
              <w:t>19,105</w:t>
            </w:r>
          </w:p>
        </w:tc>
      </w:tr>
    </w:tbl>
    <w:p w14:paraId="60CAAE9B" w14:textId="77777777" w:rsidR="000E2560" w:rsidRPr="000E2560" w:rsidRDefault="000E2560" w:rsidP="000E2560">
      <w:pPr>
        <w:rPr>
          <w:rFonts w:ascii="Arial" w:hAnsi="Arial" w:cs="Arial"/>
          <w:sz w:val="24"/>
          <w:szCs w:val="24"/>
        </w:rPr>
      </w:pPr>
    </w:p>
    <w:p w14:paraId="5A994EF1" w14:textId="77777777" w:rsidR="000E2560" w:rsidRPr="000E2560" w:rsidRDefault="000E2560" w:rsidP="000E2560">
      <w:pPr>
        <w:rPr>
          <w:rFonts w:ascii="Arial" w:hAnsi="Arial" w:cs="Arial"/>
          <w:sz w:val="24"/>
          <w:szCs w:val="24"/>
          <w:lang w:eastAsia="en-GB"/>
        </w:rPr>
      </w:pPr>
    </w:p>
    <w:p w14:paraId="46765D33" w14:textId="77777777" w:rsidR="000E2560" w:rsidRPr="000E2560" w:rsidRDefault="000E2560" w:rsidP="000E2560">
      <w:pPr>
        <w:rPr>
          <w:rFonts w:ascii="Arial" w:hAnsi="Arial" w:cs="Arial"/>
          <w:b/>
          <w:bCs/>
          <w:sz w:val="24"/>
          <w:szCs w:val="24"/>
          <w:u w:val="single"/>
        </w:rPr>
      </w:pPr>
      <w:r w:rsidRPr="000E2560">
        <w:rPr>
          <w:rFonts w:ascii="Arial" w:hAnsi="Arial" w:cs="Arial"/>
          <w:b/>
          <w:bCs/>
          <w:sz w:val="24"/>
          <w:szCs w:val="24"/>
          <w:u w:val="single"/>
        </w:rPr>
        <w:lastRenderedPageBreak/>
        <w:t>Employment Rate [16-64] 73.6% LCR</w:t>
      </w:r>
    </w:p>
    <w:p w14:paraId="45E24BB6" w14:textId="77777777" w:rsidR="000E2560" w:rsidRPr="000E2560" w:rsidRDefault="000E2560" w:rsidP="000E2560">
      <w:pPr>
        <w:rPr>
          <w:rFonts w:ascii="Arial" w:hAnsi="Arial" w:cs="Arial"/>
          <w:sz w:val="24"/>
          <w:szCs w:val="24"/>
        </w:rPr>
      </w:pPr>
      <w:r w:rsidRPr="000E2560">
        <w:rPr>
          <w:rFonts w:ascii="Arial" w:hAnsi="Arial" w:cs="Arial"/>
          <w:sz w:val="24"/>
          <w:szCs w:val="24"/>
        </w:rPr>
        <w:t>The number of people in work decreased from 705,700 to 704,700. The Employment Rate remained at 73.6% in LCR. The Employment Rate in December 2021 for England rose from 74.9% to 75.1%.</w:t>
      </w:r>
    </w:p>
    <w:p w14:paraId="157F6B53" w14:textId="77777777" w:rsidR="000E2560" w:rsidRPr="000E2560" w:rsidRDefault="000E2560" w:rsidP="000E2560">
      <w:pPr>
        <w:rPr>
          <w:rFonts w:ascii="Arial" w:hAnsi="Arial" w:cs="Arial"/>
          <w:b/>
          <w:bCs/>
          <w:sz w:val="24"/>
          <w:szCs w:val="24"/>
          <w:u w:val="single"/>
        </w:rPr>
      </w:pPr>
    </w:p>
    <w:p w14:paraId="5444F956" w14:textId="77777777" w:rsidR="000E2560" w:rsidRPr="000E2560" w:rsidRDefault="000E2560" w:rsidP="000E2560">
      <w:pPr>
        <w:rPr>
          <w:rFonts w:ascii="Arial" w:hAnsi="Arial" w:cs="Arial"/>
          <w:b/>
          <w:bCs/>
          <w:sz w:val="24"/>
          <w:szCs w:val="24"/>
          <w:u w:val="single"/>
        </w:rPr>
      </w:pPr>
      <w:r w:rsidRPr="000E2560">
        <w:rPr>
          <w:rFonts w:ascii="Arial" w:hAnsi="Arial" w:cs="Arial"/>
          <w:b/>
          <w:bCs/>
          <w:sz w:val="24"/>
          <w:szCs w:val="24"/>
          <w:u w:val="single"/>
        </w:rPr>
        <w:t>Unemployment Rate [16-64] 4.6% LCR</w:t>
      </w:r>
    </w:p>
    <w:p w14:paraId="751E3C32" w14:textId="77777777" w:rsidR="000E2560" w:rsidRPr="000E2560" w:rsidRDefault="000E2560" w:rsidP="000E2560">
      <w:pPr>
        <w:rPr>
          <w:rFonts w:ascii="Arial" w:hAnsi="Arial" w:cs="Arial"/>
          <w:sz w:val="24"/>
          <w:szCs w:val="24"/>
        </w:rPr>
      </w:pPr>
      <w:r w:rsidRPr="000E2560">
        <w:rPr>
          <w:rFonts w:ascii="Arial" w:hAnsi="Arial" w:cs="Arial"/>
          <w:sz w:val="24"/>
          <w:szCs w:val="24"/>
        </w:rPr>
        <w:t>During September 2021 – December 2021 unemployment in LCR decreased by 600 unemployed individuals, but the unemployment rate remained at 4.6%. In England, the unemployment rate fell from 5.2% to 4.6%.</w:t>
      </w:r>
    </w:p>
    <w:p w14:paraId="23F82FD8" w14:textId="77777777" w:rsidR="000E2560" w:rsidRPr="000E2560" w:rsidRDefault="000E2560" w:rsidP="000E2560">
      <w:pPr>
        <w:rPr>
          <w:rFonts w:ascii="Arial" w:hAnsi="Arial" w:cs="Arial"/>
          <w:sz w:val="24"/>
          <w:szCs w:val="24"/>
        </w:rPr>
      </w:pPr>
    </w:p>
    <w:p w14:paraId="035037AE" w14:textId="77777777" w:rsidR="000E2560" w:rsidRPr="000E2560" w:rsidRDefault="000E2560" w:rsidP="000E2560">
      <w:pPr>
        <w:rPr>
          <w:rFonts w:ascii="Arial" w:hAnsi="Arial" w:cs="Arial"/>
          <w:b/>
          <w:bCs/>
          <w:sz w:val="24"/>
          <w:szCs w:val="24"/>
          <w:u w:val="single"/>
        </w:rPr>
      </w:pPr>
      <w:r w:rsidRPr="000E2560">
        <w:rPr>
          <w:rFonts w:ascii="Arial" w:hAnsi="Arial" w:cs="Arial"/>
          <w:b/>
          <w:bCs/>
          <w:sz w:val="24"/>
          <w:szCs w:val="24"/>
          <w:u w:val="single"/>
        </w:rPr>
        <w:t>Economic Inactivity Rate [16-64] 22.9% LCR</w:t>
      </w:r>
    </w:p>
    <w:p w14:paraId="3774C941" w14:textId="77777777" w:rsidR="000E2560" w:rsidRPr="000E2560" w:rsidRDefault="000E2560" w:rsidP="000E2560">
      <w:pPr>
        <w:rPr>
          <w:rFonts w:ascii="Arial" w:hAnsi="Arial" w:cs="Arial"/>
          <w:sz w:val="24"/>
          <w:szCs w:val="24"/>
        </w:rPr>
      </w:pPr>
      <w:r w:rsidRPr="000E2560">
        <w:rPr>
          <w:rFonts w:ascii="Arial" w:hAnsi="Arial" w:cs="Arial"/>
          <w:sz w:val="24"/>
          <w:szCs w:val="24"/>
        </w:rPr>
        <w:t xml:space="preserve">The number of economic inactive individuals in LCR fell by 500 during this period, but the inactivity rate remained at 22.9%. In England it increased from 21.2% to 21.3%. In the </w:t>
      </w:r>
      <w:proofErr w:type="gramStart"/>
      <w:r w:rsidRPr="000E2560">
        <w:rPr>
          <w:rFonts w:ascii="Arial" w:hAnsi="Arial" w:cs="Arial"/>
          <w:sz w:val="24"/>
          <w:szCs w:val="24"/>
        </w:rPr>
        <w:t>North West</w:t>
      </w:r>
      <w:proofErr w:type="gramEnd"/>
      <w:r w:rsidRPr="000E2560">
        <w:rPr>
          <w:rFonts w:ascii="Arial" w:hAnsi="Arial" w:cs="Arial"/>
          <w:sz w:val="24"/>
          <w:szCs w:val="24"/>
        </w:rPr>
        <w:t xml:space="preserve">, it increased from 23.1% 23.5%. </w:t>
      </w:r>
    </w:p>
    <w:p w14:paraId="1659A18D" w14:textId="77777777" w:rsidR="000E2560" w:rsidRPr="000E2560" w:rsidRDefault="000E2560" w:rsidP="000E2560">
      <w:pPr>
        <w:rPr>
          <w:rFonts w:ascii="Arial" w:hAnsi="Arial" w:cs="Arial"/>
          <w:sz w:val="24"/>
          <w:szCs w:val="24"/>
        </w:rPr>
      </w:pPr>
    </w:p>
    <w:p w14:paraId="07976E06" w14:textId="77777777" w:rsidR="000E2560" w:rsidRPr="000E2560" w:rsidRDefault="000E2560" w:rsidP="000E2560">
      <w:pPr>
        <w:rPr>
          <w:rFonts w:ascii="Arial" w:hAnsi="Arial" w:cs="Arial"/>
          <w:b/>
          <w:bCs/>
          <w:sz w:val="24"/>
          <w:szCs w:val="24"/>
          <w:u w:val="single"/>
        </w:rPr>
      </w:pPr>
      <w:r w:rsidRPr="000E2560">
        <w:rPr>
          <w:rFonts w:ascii="Arial" w:hAnsi="Arial" w:cs="Arial"/>
          <w:b/>
          <w:bCs/>
          <w:sz w:val="24"/>
          <w:szCs w:val="24"/>
          <w:u w:val="single"/>
        </w:rPr>
        <w:t xml:space="preserve">Ethnic Minority Rates </w:t>
      </w:r>
    </w:p>
    <w:p w14:paraId="5764A0D0" w14:textId="77777777" w:rsidR="000E2560" w:rsidRPr="000E2560" w:rsidRDefault="000E2560" w:rsidP="000E2560">
      <w:pPr>
        <w:pStyle w:val="ListParagraph"/>
        <w:numPr>
          <w:ilvl w:val="0"/>
          <w:numId w:val="2"/>
        </w:numPr>
        <w:rPr>
          <w:rFonts w:ascii="Arial" w:hAnsi="Arial" w:cs="Arial"/>
          <w:b/>
          <w:bCs/>
          <w:sz w:val="24"/>
          <w:szCs w:val="24"/>
          <w:u w:val="single"/>
        </w:rPr>
      </w:pPr>
      <w:r w:rsidRPr="000E2560">
        <w:rPr>
          <w:rFonts w:ascii="Arial" w:hAnsi="Arial" w:cs="Arial"/>
          <w:sz w:val="24"/>
          <w:szCs w:val="24"/>
        </w:rPr>
        <w:t>Employment Rate [16-64] decreased from 71.3% to 71% (This is despite an extra 500 people in work) in LCR. (National Rates rose from 67% to 67.6%)</w:t>
      </w:r>
    </w:p>
    <w:p w14:paraId="4A7A3416" w14:textId="77777777" w:rsidR="000E2560" w:rsidRPr="000E2560" w:rsidRDefault="000E2560" w:rsidP="000E2560">
      <w:pPr>
        <w:pStyle w:val="ListParagraph"/>
        <w:numPr>
          <w:ilvl w:val="0"/>
          <w:numId w:val="2"/>
        </w:numPr>
        <w:rPr>
          <w:rFonts w:ascii="Arial" w:hAnsi="Arial" w:cs="Arial"/>
          <w:b/>
          <w:bCs/>
          <w:sz w:val="24"/>
          <w:szCs w:val="24"/>
          <w:u w:val="single"/>
        </w:rPr>
      </w:pPr>
      <w:r w:rsidRPr="000E2560">
        <w:rPr>
          <w:rFonts w:ascii="Arial" w:hAnsi="Arial" w:cs="Arial"/>
          <w:sz w:val="24"/>
          <w:szCs w:val="24"/>
        </w:rPr>
        <w:t>The unemployment rate [16+] decreased from 8.7% to 6.7% falling from 4,100 to 3,100 individuals in LCR. (National Rates fell to 8.0%)</w:t>
      </w:r>
    </w:p>
    <w:p w14:paraId="4D2D18BE" w14:textId="77777777" w:rsidR="000E2560" w:rsidRPr="000E2560" w:rsidRDefault="000E2560" w:rsidP="000E2560">
      <w:pPr>
        <w:pStyle w:val="ListParagraph"/>
        <w:numPr>
          <w:ilvl w:val="0"/>
          <w:numId w:val="2"/>
        </w:numPr>
        <w:rPr>
          <w:rFonts w:ascii="Arial" w:hAnsi="Arial" w:cs="Arial"/>
          <w:b/>
          <w:bCs/>
          <w:sz w:val="24"/>
          <w:szCs w:val="24"/>
          <w:u w:val="single"/>
        </w:rPr>
      </w:pPr>
      <w:r w:rsidRPr="000E2560">
        <w:rPr>
          <w:rFonts w:ascii="Arial" w:hAnsi="Arial" w:cs="Arial"/>
          <w:sz w:val="24"/>
          <w:szCs w:val="24"/>
        </w:rPr>
        <w:t>The Economic Inactivity Rate [16-64] increased from 21.8% to 23.9%, with 1,400 more ethnic minority individuals economically inactive in LCR. (National Rates fell slightly to 26.4%)</w:t>
      </w:r>
    </w:p>
    <w:p w14:paraId="561B0850" w14:textId="77777777" w:rsidR="000E2560" w:rsidRPr="000E2560" w:rsidRDefault="000E2560" w:rsidP="000E2560">
      <w:pPr>
        <w:rPr>
          <w:rFonts w:ascii="Arial" w:hAnsi="Arial" w:cs="Arial"/>
          <w:b/>
          <w:bCs/>
          <w:sz w:val="24"/>
          <w:szCs w:val="24"/>
          <w:u w:val="single"/>
        </w:rPr>
      </w:pPr>
      <w:r w:rsidRPr="000E2560">
        <w:rPr>
          <w:rFonts w:ascii="Arial" w:hAnsi="Arial" w:cs="Arial"/>
          <w:b/>
          <w:bCs/>
          <w:sz w:val="24"/>
          <w:szCs w:val="24"/>
          <w:u w:val="single"/>
        </w:rPr>
        <w:t>Disability Rates [Equality Act or Work-Limiting Disabled]</w:t>
      </w:r>
    </w:p>
    <w:p w14:paraId="661AD65A" w14:textId="77777777" w:rsidR="000E2560" w:rsidRPr="000E2560" w:rsidRDefault="000E2560" w:rsidP="000E2560">
      <w:pPr>
        <w:pStyle w:val="ListParagraph"/>
        <w:numPr>
          <w:ilvl w:val="0"/>
          <w:numId w:val="3"/>
        </w:numPr>
        <w:rPr>
          <w:rFonts w:ascii="Arial" w:hAnsi="Arial" w:cs="Arial"/>
          <w:b/>
          <w:bCs/>
          <w:sz w:val="24"/>
          <w:szCs w:val="24"/>
        </w:rPr>
      </w:pPr>
      <w:r w:rsidRPr="000E2560">
        <w:rPr>
          <w:rFonts w:ascii="Arial" w:hAnsi="Arial" w:cs="Arial"/>
          <w:sz w:val="24"/>
          <w:szCs w:val="24"/>
        </w:rPr>
        <w:t>Employment Rate [16-64] rose from 136,200 to 137,800 increasing overall from 51.4</w:t>
      </w:r>
      <w:proofErr w:type="gramStart"/>
      <w:r w:rsidRPr="000E2560">
        <w:rPr>
          <w:rFonts w:ascii="Arial" w:hAnsi="Arial" w:cs="Arial"/>
          <w:sz w:val="24"/>
          <w:szCs w:val="24"/>
        </w:rPr>
        <w:t>%  to</w:t>
      </w:r>
      <w:proofErr w:type="gramEnd"/>
      <w:r w:rsidRPr="000E2560">
        <w:rPr>
          <w:rFonts w:ascii="Arial" w:hAnsi="Arial" w:cs="Arial"/>
          <w:sz w:val="24"/>
          <w:szCs w:val="24"/>
        </w:rPr>
        <w:t xml:space="preserve"> 51.6% in LCR. (National Rate remained at 56%)</w:t>
      </w:r>
    </w:p>
    <w:p w14:paraId="2E9E2D1D" w14:textId="77777777" w:rsidR="000E2560" w:rsidRPr="000E2560" w:rsidRDefault="000E2560" w:rsidP="000E2560">
      <w:pPr>
        <w:pStyle w:val="ListParagraph"/>
        <w:numPr>
          <w:ilvl w:val="0"/>
          <w:numId w:val="3"/>
        </w:numPr>
        <w:rPr>
          <w:rFonts w:ascii="Arial" w:hAnsi="Arial" w:cs="Arial"/>
          <w:b/>
          <w:bCs/>
          <w:sz w:val="24"/>
          <w:szCs w:val="24"/>
        </w:rPr>
      </w:pPr>
      <w:r w:rsidRPr="000E2560">
        <w:rPr>
          <w:rFonts w:ascii="Arial" w:hAnsi="Arial" w:cs="Arial"/>
          <w:sz w:val="24"/>
          <w:szCs w:val="24"/>
        </w:rPr>
        <w:t>Unemployment Rate [16-64] decreased from 13,100 to 12,500, with the overall rate falling from 8.8% to 8.3%. (National Rate is 7.5%)</w:t>
      </w:r>
    </w:p>
    <w:p w14:paraId="05357307" w14:textId="77777777" w:rsidR="000E2560" w:rsidRPr="000E2560" w:rsidRDefault="000E2560" w:rsidP="000E2560">
      <w:pPr>
        <w:pStyle w:val="ListParagraph"/>
        <w:numPr>
          <w:ilvl w:val="0"/>
          <w:numId w:val="3"/>
        </w:numPr>
        <w:rPr>
          <w:rFonts w:ascii="Arial" w:hAnsi="Arial" w:cs="Arial"/>
          <w:b/>
          <w:bCs/>
          <w:sz w:val="24"/>
          <w:szCs w:val="24"/>
        </w:rPr>
      </w:pPr>
      <w:r w:rsidRPr="000E2560">
        <w:rPr>
          <w:rFonts w:ascii="Arial" w:hAnsi="Arial" w:cs="Arial"/>
          <w:sz w:val="24"/>
          <w:szCs w:val="24"/>
        </w:rPr>
        <w:t>Economic Inactive Rate [16-64] increased from 115,800 to 116,800. The rate remained at 43.7%. (National Rate is 39.4%)</w:t>
      </w:r>
    </w:p>
    <w:p w14:paraId="6E8A7D93" w14:textId="77777777" w:rsidR="000E2560" w:rsidRPr="000E2560" w:rsidRDefault="000E2560" w:rsidP="000E2560">
      <w:pPr>
        <w:rPr>
          <w:rFonts w:ascii="Arial" w:hAnsi="Arial" w:cs="Arial"/>
          <w:b/>
          <w:bCs/>
          <w:sz w:val="24"/>
          <w:szCs w:val="24"/>
          <w:u w:val="single"/>
        </w:rPr>
      </w:pPr>
      <w:r w:rsidRPr="000E2560">
        <w:rPr>
          <w:rFonts w:ascii="Arial" w:hAnsi="Arial" w:cs="Arial"/>
          <w:b/>
          <w:bCs/>
          <w:sz w:val="24"/>
          <w:szCs w:val="24"/>
          <w:u w:val="single"/>
        </w:rPr>
        <w:t>Young People [16-24]</w:t>
      </w:r>
    </w:p>
    <w:p w14:paraId="52006CC8" w14:textId="77777777" w:rsidR="000E2560" w:rsidRPr="000E2560" w:rsidRDefault="000E2560" w:rsidP="000E2560">
      <w:pPr>
        <w:pStyle w:val="ListParagraph"/>
        <w:numPr>
          <w:ilvl w:val="0"/>
          <w:numId w:val="4"/>
        </w:numPr>
        <w:rPr>
          <w:rFonts w:ascii="Arial" w:hAnsi="Arial" w:cs="Arial"/>
          <w:sz w:val="24"/>
          <w:szCs w:val="24"/>
        </w:rPr>
      </w:pPr>
      <w:r w:rsidRPr="000E2560">
        <w:rPr>
          <w:rFonts w:ascii="Arial" w:hAnsi="Arial" w:cs="Arial"/>
          <w:sz w:val="24"/>
          <w:szCs w:val="24"/>
        </w:rPr>
        <w:t>Youth Unemployment in LCR increased by 1,500. A rate increase from 12.1</w:t>
      </w:r>
      <w:proofErr w:type="gramStart"/>
      <w:r w:rsidRPr="000E2560">
        <w:rPr>
          <w:rFonts w:ascii="Arial" w:hAnsi="Arial" w:cs="Arial"/>
          <w:sz w:val="24"/>
          <w:szCs w:val="24"/>
        </w:rPr>
        <w:t>%  to</w:t>
      </w:r>
      <w:proofErr w:type="gramEnd"/>
      <w:r w:rsidRPr="000E2560">
        <w:rPr>
          <w:rFonts w:ascii="Arial" w:hAnsi="Arial" w:cs="Arial"/>
          <w:sz w:val="24"/>
          <w:szCs w:val="24"/>
        </w:rPr>
        <w:t xml:space="preserve"> 13.2%. The national rate decreased from 13.7% to 12.9%. In total there are 13,300 16–24-year-olds in Liverpool City Region classed as ‘unemployed’ by the ONS.</w:t>
      </w:r>
    </w:p>
    <w:p w14:paraId="755A2293" w14:textId="77777777" w:rsidR="000E2560" w:rsidRPr="000E2560" w:rsidRDefault="000E2560" w:rsidP="000E2560">
      <w:pPr>
        <w:pStyle w:val="ListParagraph"/>
        <w:numPr>
          <w:ilvl w:val="0"/>
          <w:numId w:val="4"/>
        </w:numPr>
        <w:rPr>
          <w:rFonts w:ascii="Arial" w:hAnsi="Arial" w:cs="Arial"/>
          <w:sz w:val="24"/>
          <w:szCs w:val="24"/>
        </w:rPr>
      </w:pPr>
      <w:r w:rsidRPr="000E2560">
        <w:rPr>
          <w:rFonts w:ascii="Arial" w:hAnsi="Arial" w:cs="Arial"/>
          <w:sz w:val="24"/>
          <w:szCs w:val="24"/>
        </w:rPr>
        <w:t xml:space="preserve">Youth Employment 16-24 rose from 85,700 to 87,400 in LCR, a rate increase from 51.1% to 52.3%. The national employment rate for </w:t>
      </w:r>
      <w:proofErr w:type="gramStart"/>
      <w:r w:rsidRPr="000E2560">
        <w:rPr>
          <w:rFonts w:ascii="Arial" w:hAnsi="Arial" w:cs="Arial"/>
          <w:sz w:val="24"/>
          <w:szCs w:val="24"/>
        </w:rPr>
        <w:t>16-24 year olds</w:t>
      </w:r>
      <w:proofErr w:type="gramEnd"/>
      <w:r w:rsidRPr="000E2560">
        <w:rPr>
          <w:rFonts w:ascii="Arial" w:hAnsi="Arial" w:cs="Arial"/>
          <w:sz w:val="24"/>
          <w:szCs w:val="24"/>
        </w:rPr>
        <w:t xml:space="preserve"> is 51.3%.</w:t>
      </w:r>
    </w:p>
    <w:p w14:paraId="1DED4D27" w14:textId="77777777" w:rsidR="000E2560" w:rsidRPr="000E2560" w:rsidRDefault="000E2560" w:rsidP="000E2560">
      <w:pPr>
        <w:pStyle w:val="ListParagraph"/>
        <w:numPr>
          <w:ilvl w:val="0"/>
          <w:numId w:val="4"/>
        </w:numPr>
        <w:rPr>
          <w:rFonts w:ascii="Arial" w:hAnsi="Arial" w:cs="Arial"/>
          <w:sz w:val="24"/>
          <w:szCs w:val="24"/>
        </w:rPr>
      </w:pPr>
      <w:r w:rsidRPr="000E2560">
        <w:rPr>
          <w:rFonts w:ascii="Arial" w:hAnsi="Arial" w:cs="Arial"/>
          <w:sz w:val="24"/>
          <w:szCs w:val="24"/>
        </w:rPr>
        <w:lastRenderedPageBreak/>
        <w:t xml:space="preserve">There are 66,500 </w:t>
      </w:r>
      <w:proofErr w:type="gramStart"/>
      <w:r w:rsidRPr="000E2560">
        <w:rPr>
          <w:rFonts w:ascii="Arial" w:hAnsi="Arial" w:cs="Arial"/>
          <w:sz w:val="24"/>
          <w:szCs w:val="24"/>
        </w:rPr>
        <w:t>16-24 year-olds</w:t>
      </w:r>
      <w:proofErr w:type="gramEnd"/>
      <w:r w:rsidRPr="000E2560">
        <w:rPr>
          <w:rFonts w:ascii="Arial" w:hAnsi="Arial" w:cs="Arial"/>
          <w:sz w:val="24"/>
          <w:szCs w:val="24"/>
        </w:rPr>
        <w:t xml:space="preserve"> classed as ‘economically inactive’ in LCR (A rate of 39.8%), falling 3,800 over the period of Sep - Dec 2021.</w:t>
      </w:r>
    </w:p>
    <w:p w14:paraId="33B58C70" w14:textId="77777777" w:rsidR="000E2560" w:rsidRPr="000E2560" w:rsidRDefault="000E2560" w:rsidP="000E2560">
      <w:pPr>
        <w:pStyle w:val="ListParagraph"/>
        <w:numPr>
          <w:ilvl w:val="0"/>
          <w:numId w:val="4"/>
        </w:numPr>
        <w:rPr>
          <w:rFonts w:ascii="Arial" w:hAnsi="Arial" w:cs="Arial"/>
          <w:sz w:val="24"/>
          <w:szCs w:val="24"/>
        </w:rPr>
      </w:pPr>
      <w:r w:rsidRPr="000E2560">
        <w:rPr>
          <w:rFonts w:ascii="Arial" w:hAnsi="Arial" w:cs="Arial"/>
          <w:sz w:val="24"/>
          <w:szCs w:val="24"/>
        </w:rPr>
        <w:t>There are 52,000 18–24-year-olds in full-time education, up from 48,000 in Sep 2021. This is a rate of 37.9% higher than both the national (34.4%) and regional (34.8%) rates.</w:t>
      </w:r>
    </w:p>
    <w:p w14:paraId="56D9722A" w14:textId="77777777" w:rsidR="000E2560" w:rsidRPr="000E2560" w:rsidRDefault="000E2560" w:rsidP="000E2560">
      <w:pPr>
        <w:jc w:val="both"/>
        <w:rPr>
          <w:rFonts w:ascii="Arial" w:hAnsi="Arial" w:cs="Arial"/>
          <w:sz w:val="24"/>
          <w:szCs w:val="24"/>
        </w:rPr>
      </w:pPr>
    </w:p>
    <w:p w14:paraId="6EFD880D" w14:textId="77777777" w:rsidR="000E2560" w:rsidRPr="000E2560" w:rsidRDefault="000E2560" w:rsidP="000E2560">
      <w:pPr>
        <w:rPr>
          <w:rFonts w:ascii="Arial" w:hAnsi="Arial" w:cs="Arial"/>
          <w:b/>
          <w:bCs/>
          <w:sz w:val="24"/>
          <w:szCs w:val="24"/>
          <w:u w:val="single"/>
        </w:rPr>
      </w:pPr>
      <w:r w:rsidRPr="000E2560">
        <w:rPr>
          <w:rFonts w:ascii="Arial" w:hAnsi="Arial" w:cs="Arial"/>
          <w:b/>
          <w:bCs/>
          <w:sz w:val="24"/>
          <w:szCs w:val="24"/>
          <w:u w:val="single"/>
        </w:rPr>
        <w:t>Qualifications [ % of People with Qualifications as of Dec 2021– Aged 16-64]</w:t>
      </w:r>
    </w:p>
    <w:p w14:paraId="0F594FEA" w14:textId="77777777" w:rsidR="000E2560" w:rsidRPr="000E2560" w:rsidRDefault="000E2560" w:rsidP="000E2560">
      <w:pPr>
        <w:rPr>
          <w:rFonts w:ascii="Arial" w:hAnsi="Arial" w:cs="Arial"/>
          <w:b/>
          <w:bCs/>
          <w:sz w:val="24"/>
          <w:szCs w:val="24"/>
          <w:u w:val="single"/>
        </w:rPr>
      </w:pPr>
    </w:p>
    <w:p w14:paraId="705B7AC7" w14:textId="77777777" w:rsidR="000E2560" w:rsidRPr="000E2560" w:rsidRDefault="000E2560" w:rsidP="000E2560">
      <w:pPr>
        <w:pStyle w:val="ListParagraph"/>
        <w:numPr>
          <w:ilvl w:val="0"/>
          <w:numId w:val="5"/>
        </w:numPr>
        <w:rPr>
          <w:rFonts w:ascii="Arial" w:hAnsi="Arial" w:cs="Arial"/>
          <w:sz w:val="24"/>
          <w:szCs w:val="24"/>
        </w:rPr>
      </w:pPr>
      <w:r w:rsidRPr="000E2560">
        <w:rPr>
          <w:rFonts w:ascii="Arial" w:hAnsi="Arial" w:cs="Arial"/>
          <w:sz w:val="24"/>
          <w:szCs w:val="24"/>
        </w:rPr>
        <w:t xml:space="preserve">Level 4+ 39.1% (Up from 37.9% last </w:t>
      </w:r>
      <w:proofErr w:type="gramStart"/>
      <w:r w:rsidRPr="000E2560">
        <w:rPr>
          <w:rFonts w:ascii="Arial" w:hAnsi="Arial" w:cs="Arial"/>
          <w:sz w:val="24"/>
          <w:szCs w:val="24"/>
        </w:rPr>
        <w:t xml:space="preserve">year)  </w:t>
      </w:r>
      <w:r w:rsidRPr="000E2560">
        <w:rPr>
          <w:rFonts w:ascii="Arial" w:hAnsi="Arial" w:cs="Arial"/>
          <w:i/>
          <w:iCs/>
          <w:sz w:val="24"/>
          <w:szCs w:val="24"/>
        </w:rPr>
        <w:t>National</w:t>
      </w:r>
      <w:proofErr w:type="gramEnd"/>
      <w:r w:rsidRPr="000E2560">
        <w:rPr>
          <w:rFonts w:ascii="Arial" w:hAnsi="Arial" w:cs="Arial"/>
          <w:i/>
          <w:iCs/>
          <w:sz w:val="24"/>
          <w:szCs w:val="24"/>
        </w:rPr>
        <w:t xml:space="preserve"> Figure 43.1%</w:t>
      </w:r>
    </w:p>
    <w:p w14:paraId="00821C08" w14:textId="77777777" w:rsidR="000E2560" w:rsidRPr="000E2560" w:rsidRDefault="000E2560" w:rsidP="000E2560">
      <w:pPr>
        <w:pStyle w:val="ListParagraph"/>
        <w:numPr>
          <w:ilvl w:val="0"/>
          <w:numId w:val="5"/>
        </w:numPr>
        <w:rPr>
          <w:rFonts w:ascii="Arial" w:hAnsi="Arial" w:cs="Arial"/>
          <w:sz w:val="24"/>
          <w:szCs w:val="24"/>
        </w:rPr>
      </w:pPr>
      <w:r w:rsidRPr="000E2560">
        <w:rPr>
          <w:rFonts w:ascii="Arial" w:hAnsi="Arial" w:cs="Arial"/>
          <w:sz w:val="24"/>
          <w:szCs w:val="24"/>
        </w:rPr>
        <w:t xml:space="preserve">Level 3+ 58.6% (Up from 56.5% last year) </w:t>
      </w:r>
      <w:r w:rsidRPr="000E2560">
        <w:rPr>
          <w:rFonts w:ascii="Arial" w:hAnsi="Arial" w:cs="Arial"/>
          <w:i/>
          <w:iCs/>
          <w:sz w:val="24"/>
          <w:szCs w:val="24"/>
        </w:rPr>
        <w:t>National Figure 61.3%</w:t>
      </w:r>
    </w:p>
    <w:p w14:paraId="1A7A1C93" w14:textId="77777777" w:rsidR="000E2560" w:rsidRPr="000E2560" w:rsidRDefault="000E2560" w:rsidP="000E2560">
      <w:pPr>
        <w:pStyle w:val="ListParagraph"/>
        <w:numPr>
          <w:ilvl w:val="0"/>
          <w:numId w:val="5"/>
        </w:numPr>
        <w:rPr>
          <w:rFonts w:ascii="Arial" w:hAnsi="Arial" w:cs="Arial"/>
          <w:sz w:val="24"/>
          <w:szCs w:val="24"/>
        </w:rPr>
      </w:pPr>
      <w:r w:rsidRPr="000E2560">
        <w:rPr>
          <w:rFonts w:ascii="Arial" w:hAnsi="Arial" w:cs="Arial"/>
          <w:sz w:val="24"/>
          <w:szCs w:val="24"/>
        </w:rPr>
        <w:t xml:space="preserve">Level 2+ 78.3% (Up from 75.5% last year) </w:t>
      </w:r>
      <w:r w:rsidRPr="000E2560">
        <w:rPr>
          <w:rFonts w:ascii="Arial" w:hAnsi="Arial" w:cs="Arial"/>
          <w:i/>
          <w:iCs/>
          <w:sz w:val="24"/>
          <w:szCs w:val="24"/>
        </w:rPr>
        <w:t>National Figure 78.2%</w:t>
      </w:r>
    </w:p>
    <w:p w14:paraId="59A6F9AF" w14:textId="77777777" w:rsidR="000E2560" w:rsidRPr="000E2560" w:rsidRDefault="000E2560" w:rsidP="000E2560">
      <w:pPr>
        <w:pStyle w:val="ListParagraph"/>
        <w:numPr>
          <w:ilvl w:val="0"/>
          <w:numId w:val="5"/>
        </w:numPr>
        <w:rPr>
          <w:rFonts w:ascii="Arial" w:hAnsi="Arial" w:cs="Arial"/>
          <w:sz w:val="24"/>
          <w:szCs w:val="24"/>
        </w:rPr>
      </w:pPr>
      <w:r w:rsidRPr="000E2560">
        <w:rPr>
          <w:rFonts w:ascii="Arial" w:hAnsi="Arial" w:cs="Arial"/>
          <w:sz w:val="24"/>
          <w:szCs w:val="24"/>
        </w:rPr>
        <w:t xml:space="preserve">Level 1+ 87% (Up from 84.9% last year) </w:t>
      </w:r>
      <w:r w:rsidRPr="000E2560">
        <w:rPr>
          <w:rFonts w:ascii="Arial" w:hAnsi="Arial" w:cs="Arial"/>
          <w:i/>
          <w:iCs/>
          <w:sz w:val="24"/>
          <w:szCs w:val="24"/>
        </w:rPr>
        <w:t>National Figure 87.8%</w:t>
      </w:r>
    </w:p>
    <w:p w14:paraId="75C5A273" w14:textId="77777777" w:rsidR="000E2560" w:rsidRPr="000E2560" w:rsidRDefault="000E2560" w:rsidP="000E2560">
      <w:pPr>
        <w:pStyle w:val="ListParagraph"/>
        <w:numPr>
          <w:ilvl w:val="0"/>
          <w:numId w:val="5"/>
        </w:numPr>
        <w:rPr>
          <w:rFonts w:ascii="Arial" w:hAnsi="Arial" w:cs="Arial"/>
          <w:sz w:val="24"/>
          <w:szCs w:val="24"/>
        </w:rPr>
      </w:pPr>
      <w:r w:rsidRPr="000E2560">
        <w:rPr>
          <w:rFonts w:ascii="Arial" w:hAnsi="Arial" w:cs="Arial"/>
          <w:sz w:val="24"/>
          <w:szCs w:val="24"/>
        </w:rPr>
        <w:t xml:space="preserve">Other Qualifications 5.3% (Down from 5.5% last year) </w:t>
      </w:r>
      <w:r w:rsidRPr="000E2560">
        <w:rPr>
          <w:rFonts w:ascii="Arial" w:hAnsi="Arial" w:cs="Arial"/>
          <w:i/>
          <w:iCs/>
          <w:sz w:val="24"/>
          <w:szCs w:val="24"/>
        </w:rPr>
        <w:t>National Figure 5.9%</w:t>
      </w:r>
    </w:p>
    <w:p w14:paraId="39F5FF47" w14:textId="77777777" w:rsidR="000E2560" w:rsidRPr="000E2560" w:rsidRDefault="000E2560" w:rsidP="000E2560">
      <w:pPr>
        <w:pStyle w:val="ListParagraph"/>
        <w:numPr>
          <w:ilvl w:val="0"/>
          <w:numId w:val="5"/>
        </w:numPr>
        <w:rPr>
          <w:rFonts w:ascii="Arial" w:hAnsi="Arial" w:cs="Arial"/>
          <w:sz w:val="24"/>
          <w:szCs w:val="24"/>
        </w:rPr>
      </w:pPr>
      <w:r w:rsidRPr="000E2560">
        <w:rPr>
          <w:rFonts w:ascii="Arial" w:hAnsi="Arial" w:cs="Arial"/>
          <w:sz w:val="24"/>
          <w:szCs w:val="24"/>
        </w:rPr>
        <w:t xml:space="preserve">No Qualifications 7.7% (Down from 9.5% last year) </w:t>
      </w:r>
      <w:r w:rsidRPr="000E2560">
        <w:rPr>
          <w:rFonts w:ascii="Arial" w:hAnsi="Arial" w:cs="Arial"/>
          <w:i/>
          <w:iCs/>
          <w:sz w:val="24"/>
          <w:szCs w:val="24"/>
        </w:rPr>
        <w:t>National Figure 6.4%</w:t>
      </w:r>
    </w:p>
    <w:p w14:paraId="2D4F170B" w14:textId="77777777" w:rsidR="000E2560" w:rsidRPr="000E2560" w:rsidRDefault="000E2560" w:rsidP="000E2560">
      <w:pPr>
        <w:rPr>
          <w:rFonts w:ascii="Arial" w:hAnsi="Arial" w:cs="Arial"/>
          <w:sz w:val="24"/>
          <w:szCs w:val="24"/>
        </w:rPr>
      </w:pPr>
    </w:p>
    <w:tbl>
      <w:tblPr>
        <w:tblW w:w="4609" w:type="pct"/>
        <w:tblInd w:w="704" w:type="dxa"/>
        <w:tblCellMar>
          <w:left w:w="0" w:type="dxa"/>
          <w:right w:w="0" w:type="dxa"/>
        </w:tblCellMar>
        <w:tblLook w:val="04A0" w:firstRow="1" w:lastRow="0" w:firstColumn="1" w:lastColumn="0" w:noHBand="0" w:noVBand="1"/>
      </w:tblPr>
      <w:tblGrid>
        <w:gridCol w:w="1718"/>
        <w:gridCol w:w="2194"/>
        <w:gridCol w:w="2194"/>
        <w:gridCol w:w="2196"/>
      </w:tblGrid>
      <w:tr w:rsidR="000E2560" w:rsidRPr="000E2560" w14:paraId="619554CF" w14:textId="77777777" w:rsidTr="000E2560">
        <w:trPr>
          <w:trHeight w:val="69"/>
        </w:trPr>
        <w:tc>
          <w:tcPr>
            <w:tcW w:w="5000" w:type="pct"/>
            <w:gridSpan w:val="4"/>
            <w:tcBorders>
              <w:top w:val="single" w:sz="8" w:space="0" w:color="4472C4"/>
              <w:left w:val="single" w:sz="8" w:space="0" w:color="4472C4"/>
              <w:bottom w:val="single" w:sz="8" w:space="0" w:color="4472C4"/>
              <w:right w:val="single" w:sz="8" w:space="0" w:color="4472C4"/>
            </w:tcBorders>
            <w:shd w:val="clear" w:color="auto" w:fill="4472C4"/>
            <w:noWrap/>
            <w:tcMar>
              <w:top w:w="0" w:type="dxa"/>
              <w:left w:w="108" w:type="dxa"/>
              <w:bottom w:w="0" w:type="dxa"/>
              <w:right w:w="108" w:type="dxa"/>
            </w:tcMar>
            <w:hideMark/>
          </w:tcPr>
          <w:p w14:paraId="4E33C914" w14:textId="77777777" w:rsidR="000E2560" w:rsidRPr="000E2560" w:rsidRDefault="000E2560">
            <w:pPr>
              <w:spacing w:line="252" w:lineRule="auto"/>
              <w:jc w:val="center"/>
              <w:rPr>
                <w:rFonts w:ascii="Arial" w:hAnsi="Arial" w:cs="Arial"/>
                <w:b/>
                <w:bCs/>
                <w:color w:val="FFFFFF"/>
                <w:sz w:val="24"/>
                <w:szCs w:val="24"/>
                <w:u w:val="single"/>
              </w:rPr>
            </w:pPr>
            <w:r w:rsidRPr="000E2560">
              <w:rPr>
                <w:rFonts w:ascii="Arial" w:hAnsi="Arial" w:cs="Arial"/>
                <w:b/>
                <w:bCs/>
                <w:color w:val="FFFFFF"/>
                <w:sz w:val="24"/>
                <w:szCs w:val="24"/>
                <w:u w:val="single"/>
              </w:rPr>
              <w:t>Latest ONS Nomis Release December 2021 16-64 % Rates</w:t>
            </w:r>
          </w:p>
          <w:p w14:paraId="33B5D411" w14:textId="77777777" w:rsidR="000E2560" w:rsidRPr="000E2560" w:rsidRDefault="000E2560">
            <w:pPr>
              <w:spacing w:line="252" w:lineRule="auto"/>
              <w:jc w:val="center"/>
              <w:rPr>
                <w:rFonts w:ascii="Arial" w:hAnsi="Arial" w:cs="Arial"/>
                <w:b/>
                <w:bCs/>
                <w:i/>
                <w:iCs/>
                <w:color w:val="FFFFFF"/>
                <w:sz w:val="24"/>
                <w:szCs w:val="24"/>
              </w:rPr>
            </w:pPr>
            <w:r w:rsidRPr="000E2560">
              <w:rPr>
                <w:rFonts w:ascii="Arial" w:hAnsi="Arial" w:cs="Arial"/>
                <w:b/>
                <w:bCs/>
                <w:i/>
                <w:iCs/>
                <w:color w:val="FFFFFF"/>
                <w:sz w:val="24"/>
                <w:szCs w:val="24"/>
              </w:rPr>
              <w:t xml:space="preserve">*Please note the Local Authority Rate Breakdowns do not have the same statistical confidence levels as those at the Liverpool City Region, National or Regional Figure Level. </w:t>
            </w:r>
          </w:p>
        </w:tc>
      </w:tr>
      <w:tr w:rsidR="000E2560" w:rsidRPr="000E2560" w14:paraId="4DB136ED" w14:textId="77777777" w:rsidTr="000E2560">
        <w:trPr>
          <w:trHeight w:val="172"/>
        </w:trPr>
        <w:tc>
          <w:tcPr>
            <w:tcW w:w="1020" w:type="pct"/>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38E371BA" w14:textId="77777777" w:rsidR="000E2560" w:rsidRPr="000E2560" w:rsidRDefault="000E2560">
            <w:pPr>
              <w:spacing w:line="252" w:lineRule="auto"/>
              <w:rPr>
                <w:rFonts w:ascii="Arial" w:hAnsi="Arial" w:cs="Arial"/>
                <w:color w:val="000000"/>
                <w:sz w:val="24"/>
                <w:szCs w:val="24"/>
              </w:rPr>
            </w:pPr>
            <w:r w:rsidRPr="000E2560">
              <w:rPr>
                <w:rFonts w:ascii="Arial" w:hAnsi="Arial" w:cs="Arial"/>
                <w:b/>
                <w:bCs/>
                <w:color w:val="000000"/>
                <w:sz w:val="24"/>
                <w:szCs w:val="24"/>
              </w:rPr>
              <w:t>Local Authority/</w:t>
            </w:r>
          </w:p>
          <w:p w14:paraId="088EAEF6" w14:textId="77777777" w:rsidR="000E2560" w:rsidRPr="000E2560" w:rsidRDefault="000E2560">
            <w:pPr>
              <w:spacing w:line="252" w:lineRule="auto"/>
              <w:rPr>
                <w:rFonts w:ascii="Arial" w:hAnsi="Arial" w:cs="Arial"/>
                <w:b/>
                <w:bCs/>
                <w:color w:val="000000"/>
                <w:sz w:val="24"/>
                <w:szCs w:val="24"/>
              </w:rPr>
            </w:pPr>
            <w:r w:rsidRPr="000E2560">
              <w:rPr>
                <w:rFonts w:ascii="Arial" w:hAnsi="Arial" w:cs="Arial"/>
                <w:b/>
                <w:bCs/>
                <w:color w:val="000000"/>
                <w:sz w:val="24"/>
                <w:szCs w:val="24"/>
              </w:rPr>
              <w:t>Area</w:t>
            </w:r>
          </w:p>
        </w:tc>
        <w:tc>
          <w:tcPr>
            <w:tcW w:w="1326" w:type="pct"/>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64DAC44B" w14:textId="77777777" w:rsidR="000E2560" w:rsidRPr="000E2560" w:rsidRDefault="000E2560">
            <w:pPr>
              <w:spacing w:line="252" w:lineRule="auto"/>
              <w:jc w:val="center"/>
              <w:rPr>
                <w:rFonts w:ascii="Arial" w:hAnsi="Arial" w:cs="Arial"/>
                <w:b/>
                <w:bCs/>
                <w:color w:val="000000"/>
                <w:sz w:val="24"/>
                <w:szCs w:val="24"/>
              </w:rPr>
            </w:pPr>
            <w:r w:rsidRPr="000E2560">
              <w:rPr>
                <w:rFonts w:ascii="Arial" w:hAnsi="Arial" w:cs="Arial"/>
                <w:b/>
                <w:bCs/>
                <w:color w:val="000000"/>
                <w:sz w:val="24"/>
                <w:szCs w:val="24"/>
              </w:rPr>
              <w:t>Employment Rate [16-64]</w:t>
            </w:r>
          </w:p>
        </w:tc>
        <w:tc>
          <w:tcPr>
            <w:tcW w:w="1326" w:type="pct"/>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37A9628A" w14:textId="77777777" w:rsidR="000E2560" w:rsidRPr="000E2560" w:rsidRDefault="000E2560">
            <w:pPr>
              <w:spacing w:line="252" w:lineRule="auto"/>
              <w:jc w:val="center"/>
              <w:rPr>
                <w:rFonts w:ascii="Arial" w:hAnsi="Arial" w:cs="Arial"/>
                <w:b/>
                <w:bCs/>
                <w:color w:val="000000"/>
                <w:sz w:val="24"/>
                <w:szCs w:val="24"/>
              </w:rPr>
            </w:pPr>
            <w:r w:rsidRPr="000E2560">
              <w:rPr>
                <w:rFonts w:ascii="Arial" w:hAnsi="Arial" w:cs="Arial"/>
                <w:b/>
                <w:bCs/>
                <w:color w:val="000000"/>
                <w:sz w:val="24"/>
                <w:szCs w:val="24"/>
              </w:rPr>
              <w:t>Unemployment Rate [16-64]</w:t>
            </w:r>
          </w:p>
        </w:tc>
        <w:tc>
          <w:tcPr>
            <w:tcW w:w="1327" w:type="pct"/>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7836142F" w14:textId="77777777" w:rsidR="000E2560" w:rsidRPr="000E2560" w:rsidRDefault="000E2560">
            <w:pPr>
              <w:spacing w:line="252" w:lineRule="auto"/>
              <w:jc w:val="center"/>
              <w:rPr>
                <w:rFonts w:ascii="Arial" w:hAnsi="Arial" w:cs="Arial"/>
                <w:b/>
                <w:bCs/>
                <w:color w:val="000000"/>
                <w:sz w:val="24"/>
                <w:szCs w:val="24"/>
              </w:rPr>
            </w:pPr>
            <w:r w:rsidRPr="000E2560">
              <w:rPr>
                <w:rFonts w:ascii="Arial" w:hAnsi="Arial" w:cs="Arial"/>
                <w:b/>
                <w:bCs/>
                <w:color w:val="000000"/>
                <w:sz w:val="24"/>
                <w:szCs w:val="24"/>
              </w:rPr>
              <w:t>Economic Inactivity Rate [16-64]</w:t>
            </w:r>
          </w:p>
        </w:tc>
      </w:tr>
      <w:tr w:rsidR="000E2560" w:rsidRPr="000E2560" w14:paraId="0D6B3BE2" w14:textId="77777777" w:rsidTr="000E2560">
        <w:trPr>
          <w:trHeight w:val="16"/>
        </w:trPr>
        <w:tc>
          <w:tcPr>
            <w:tcW w:w="1020" w:type="pct"/>
            <w:tcBorders>
              <w:top w:val="nil"/>
              <w:left w:val="single" w:sz="8" w:space="0" w:color="8EAADB"/>
              <w:bottom w:val="single" w:sz="8" w:space="0" w:color="8EAADB"/>
              <w:right w:val="single" w:sz="8" w:space="0" w:color="8EAADB"/>
            </w:tcBorders>
            <w:noWrap/>
            <w:tcMar>
              <w:top w:w="0" w:type="dxa"/>
              <w:left w:w="108" w:type="dxa"/>
              <w:bottom w:w="0" w:type="dxa"/>
              <w:right w:w="108" w:type="dxa"/>
            </w:tcMar>
            <w:hideMark/>
          </w:tcPr>
          <w:p w14:paraId="2294F2A6" w14:textId="77777777" w:rsidR="000E2560" w:rsidRPr="000E2560" w:rsidRDefault="000E2560">
            <w:pPr>
              <w:spacing w:line="252" w:lineRule="auto"/>
              <w:rPr>
                <w:rFonts w:ascii="Arial" w:hAnsi="Arial" w:cs="Arial"/>
                <w:color w:val="000000"/>
                <w:sz w:val="24"/>
                <w:szCs w:val="24"/>
              </w:rPr>
            </w:pPr>
            <w:r w:rsidRPr="000E2560">
              <w:rPr>
                <w:rFonts w:ascii="Arial" w:hAnsi="Arial" w:cs="Arial"/>
                <w:b/>
                <w:bCs/>
                <w:color w:val="000000"/>
                <w:sz w:val="24"/>
                <w:szCs w:val="24"/>
              </w:rPr>
              <w:t>Halton</w:t>
            </w:r>
          </w:p>
        </w:tc>
        <w:tc>
          <w:tcPr>
            <w:tcW w:w="1326" w:type="pct"/>
            <w:tcBorders>
              <w:top w:val="nil"/>
              <w:left w:val="nil"/>
              <w:bottom w:val="single" w:sz="8" w:space="0" w:color="8EAADB"/>
              <w:right w:val="single" w:sz="8" w:space="0" w:color="8EAADB"/>
            </w:tcBorders>
            <w:noWrap/>
            <w:tcMar>
              <w:top w:w="0" w:type="dxa"/>
              <w:left w:w="108" w:type="dxa"/>
              <w:bottom w:w="0" w:type="dxa"/>
              <w:right w:w="108" w:type="dxa"/>
            </w:tcMar>
            <w:hideMark/>
          </w:tcPr>
          <w:p w14:paraId="472D87E5" w14:textId="77777777" w:rsidR="000E2560" w:rsidRPr="000E2560" w:rsidRDefault="000E2560">
            <w:pPr>
              <w:spacing w:line="252" w:lineRule="auto"/>
              <w:jc w:val="center"/>
              <w:rPr>
                <w:rFonts w:ascii="Arial" w:hAnsi="Arial" w:cs="Arial"/>
                <w:sz w:val="24"/>
                <w:szCs w:val="24"/>
              </w:rPr>
            </w:pPr>
            <w:r w:rsidRPr="000E2560">
              <w:rPr>
                <w:rFonts w:ascii="Arial" w:hAnsi="Arial" w:cs="Arial"/>
                <w:sz w:val="24"/>
                <w:szCs w:val="24"/>
              </w:rPr>
              <w:t>76.1%</w:t>
            </w:r>
          </w:p>
        </w:tc>
        <w:tc>
          <w:tcPr>
            <w:tcW w:w="1326" w:type="pct"/>
            <w:tcBorders>
              <w:top w:val="nil"/>
              <w:left w:val="nil"/>
              <w:bottom w:val="single" w:sz="8" w:space="0" w:color="8EAADB"/>
              <w:right w:val="single" w:sz="8" w:space="0" w:color="8EAADB"/>
            </w:tcBorders>
            <w:noWrap/>
            <w:tcMar>
              <w:top w:w="0" w:type="dxa"/>
              <w:left w:w="108" w:type="dxa"/>
              <w:bottom w:w="0" w:type="dxa"/>
              <w:right w:w="108" w:type="dxa"/>
            </w:tcMar>
            <w:hideMark/>
          </w:tcPr>
          <w:p w14:paraId="38C341DF" w14:textId="77777777" w:rsidR="000E2560" w:rsidRPr="000E2560" w:rsidRDefault="000E2560">
            <w:pPr>
              <w:spacing w:line="252" w:lineRule="auto"/>
              <w:jc w:val="center"/>
              <w:rPr>
                <w:rFonts w:ascii="Arial" w:hAnsi="Arial" w:cs="Arial"/>
                <w:sz w:val="24"/>
                <w:szCs w:val="24"/>
              </w:rPr>
            </w:pPr>
            <w:r w:rsidRPr="000E2560">
              <w:rPr>
                <w:rFonts w:ascii="Arial" w:hAnsi="Arial" w:cs="Arial"/>
                <w:sz w:val="24"/>
                <w:szCs w:val="24"/>
              </w:rPr>
              <w:t>4.8%</w:t>
            </w:r>
          </w:p>
        </w:tc>
        <w:tc>
          <w:tcPr>
            <w:tcW w:w="1327" w:type="pct"/>
            <w:tcBorders>
              <w:top w:val="nil"/>
              <w:left w:val="nil"/>
              <w:bottom w:val="single" w:sz="8" w:space="0" w:color="8EAADB"/>
              <w:right w:val="single" w:sz="8" w:space="0" w:color="8EAADB"/>
            </w:tcBorders>
            <w:noWrap/>
            <w:tcMar>
              <w:top w:w="0" w:type="dxa"/>
              <w:left w:w="108" w:type="dxa"/>
              <w:bottom w:w="0" w:type="dxa"/>
              <w:right w:w="108" w:type="dxa"/>
            </w:tcMar>
            <w:hideMark/>
          </w:tcPr>
          <w:p w14:paraId="35C2CE25" w14:textId="77777777" w:rsidR="000E2560" w:rsidRPr="000E2560" w:rsidRDefault="000E2560">
            <w:pPr>
              <w:spacing w:line="252" w:lineRule="auto"/>
              <w:jc w:val="center"/>
              <w:rPr>
                <w:rFonts w:ascii="Arial" w:hAnsi="Arial" w:cs="Arial"/>
                <w:sz w:val="24"/>
                <w:szCs w:val="24"/>
              </w:rPr>
            </w:pPr>
            <w:r w:rsidRPr="000E2560">
              <w:rPr>
                <w:rFonts w:ascii="Arial" w:hAnsi="Arial" w:cs="Arial"/>
                <w:sz w:val="24"/>
                <w:szCs w:val="24"/>
              </w:rPr>
              <w:t>20.1%</w:t>
            </w:r>
          </w:p>
        </w:tc>
      </w:tr>
      <w:tr w:rsidR="000E2560" w:rsidRPr="000E2560" w14:paraId="5F4CCDE9" w14:textId="77777777" w:rsidTr="000E2560">
        <w:trPr>
          <w:trHeight w:val="69"/>
        </w:trPr>
        <w:tc>
          <w:tcPr>
            <w:tcW w:w="1020" w:type="pct"/>
            <w:tcBorders>
              <w:top w:val="nil"/>
              <w:left w:val="single" w:sz="8" w:space="0" w:color="8EAADB"/>
              <w:bottom w:val="single" w:sz="8" w:space="0" w:color="8EAADB"/>
              <w:right w:val="single" w:sz="8" w:space="0" w:color="8EAADB"/>
            </w:tcBorders>
            <w:shd w:val="clear" w:color="auto" w:fill="D9E2F3"/>
            <w:noWrap/>
            <w:tcMar>
              <w:top w:w="0" w:type="dxa"/>
              <w:left w:w="108" w:type="dxa"/>
              <w:bottom w:w="0" w:type="dxa"/>
              <w:right w:w="108" w:type="dxa"/>
            </w:tcMar>
            <w:hideMark/>
          </w:tcPr>
          <w:p w14:paraId="65E509CB" w14:textId="77777777" w:rsidR="000E2560" w:rsidRPr="000E2560" w:rsidRDefault="000E2560">
            <w:pPr>
              <w:spacing w:line="252" w:lineRule="auto"/>
              <w:rPr>
                <w:rFonts w:ascii="Arial" w:hAnsi="Arial" w:cs="Arial"/>
                <w:b/>
                <w:bCs/>
                <w:color w:val="000000"/>
                <w:sz w:val="24"/>
                <w:szCs w:val="24"/>
              </w:rPr>
            </w:pPr>
            <w:r w:rsidRPr="000E2560">
              <w:rPr>
                <w:rFonts w:ascii="Arial" w:hAnsi="Arial" w:cs="Arial"/>
                <w:b/>
                <w:bCs/>
                <w:color w:val="000000"/>
                <w:sz w:val="24"/>
                <w:szCs w:val="24"/>
              </w:rPr>
              <w:t>Knowsley</w:t>
            </w:r>
          </w:p>
        </w:tc>
        <w:tc>
          <w:tcPr>
            <w:tcW w:w="1326" w:type="pct"/>
            <w:tcBorders>
              <w:top w:val="nil"/>
              <w:left w:val="nil"/>
              <w:bottom w:val="single" w:sz="8" w:space="0" w:color="8EAADB"/>
              <w:right w:val="single" w:sz="8" w:space="0" w:color="8EAADB"/>
            </w:tcBorders>
            <w:shd w:val="clear" w:color="auto" w:fill="D9E2F3"/>
            <w:noWrap/>
            <w:tcMar>
              <w:top w:w="0" w:type="dxa"/>
              <w:left w:w="108" w:type="dxa"/>
              <w:bottom w:w="0" w:type="dxa"/>
              <w:right w:w="108" w:type="dxa"/>
            </w:tcMar>
            <w:hideMark/>
          </w:tcPr>
          <w:p w14:paraId="1EB58F88" w14:textId="77777777" w:rsidR="000E2560" w:rsidRPr="000E2560" w:rsidRDefault="000E2560">
            <w:pPr>
              <w:spacing w:line="252" w:lineRule="auto"/>
              <w:jc w:val="center"/>
              <w:rPr>
                <w:rFonts w:ascii="Arial" w:hAnsi="Arial" w:cs="Arial"/>
                <w:sz w:val="24"/>
                <w:szCs w:val="24"/>
              </w:rPr>
            </w:pPr>
            <w:r w:rsidRPr="000E2560">
              <w:rPr>
                <w:rFonts w:ascii="Arial" w:hAnsi="Arial" w:cs="Arial"/>
                <w:color w:val="000000"/>
                <w:sz w:val="24"/>
                <w:szCs w:val="24"/>
              </w:rPr>
              <w:t>75.0%</w:t>
            </w:r>
          </w:p>
        </w:tc>
        <w:tc>
          <w:tcPr>
            <w:tcW w:w="1326" w:type="pct"/>
            <w:tcBorders>
              <w:top w:val="nil"/>
              <w:left w:val="nil"/>
              <w:bottom w:val="single" w:sz="8" w:space="0" w:color="8EAADB"/>
              <w:right w:val="single" w:sz="8" w:space="0" w:color="8EAADB"/>
            </w:tcBorders>
            <w:shd w:val="clear" w:color="auto" w:fill="D9E2F3"/>
            <w:noWrap/>
            <w:tcMar>
              <w:top w:w="0" w:type="dxa"/>
              <w:left w:w="108" w:type="dxa"/>
              <w:bottom w:w="0" w:type="dxa"/>
              <w:right w:w="108" w:type="dxa"/>
            </w:tcMar>
            <w:hideMark/>
          </w:tcPr>
          <w:p w14:paraId="365025A1" w14:textId="77777777" w:rsidR="000E2560" w:rsidRPr="000E2560" w:rsidRDefault="000E2560">
            <w:pPr>
              <w:spacing w:line="252" w:lineRule="auto"/>
              <w:jc w:val="center"/>
              <w:rPr>
                <w:rFonts w:ascii="Arial" w:hAnsi="Arial" w:cs="Arial"/>
                <w:sz w:val="24"/>
                <w:szCs w:val="24"/>
              </w:rPr>
            </w:pPr>
            <w:r w:rsidRPr="000E2560">
              <w:rPr>
                <w:rFonts w:ascii="Arial" w:hAnsi="Arial" w:cs="Arial"/>
                <w:color w:val="000000"/>
                <w:sz w:val="24"/>
                <w:szCs w:val="24"/>
              </w:rPr>
              <w:t>3.7%</w:t>
            </w:r>
          </w:p>
        </w:tc>
        <w:tc>
          <w:tcPr>
            <w:tcW w:w="1327" w:type="pct"/>
            <w:tcBorders>
              <w:top w:val="nil"/>
              <w:left w:val="nil"/>
              <w:bottom w:val="single" w:sz="8" w:space="0" w:color="8EAADB"/>
              <w:right w:val="single" w:sz="8" w:space="0" w:color="8EAADB"/>
            </w:tcBorders>
            <w:shd w:val="clear" w:color="auto" w:fill="D9E2F3"/>
            <w:noWrap/>
            <w:tcMar>
              <w:top w:w="0" w:type="dxa"/>
              <w:left w:w="108" w:type="dxa"/>
              <w:bottom w:w="0" w:type="dxa"/>
              <w:right w:w="108" w:type="dxa"/>
            </w:tcMar>
            <w:hideMark/>
          </w:tcPr>
          <w:p w14:paraId="3BC0676E" w14:textId="77777777" w:rsidR="000E2560" w:rsidRPr="000E2560" w:rsidRDefault="000E2560">
            <w:pPr>
              <w:spacing w:line="252" w:lineRule="auto"/>
              <w:jc w:val="center"/>
              <w:rPr>
                <w:rFonts w:ascii="Arial" w:hAnsi="Arial" w:cs="Arial"/>
                <w:sz w:val="24"/>
                <w:szCs w:val="24"/>
              </w:rPr>
            </w:pPr>
            <w:r w:rsidRPr="000E2560">
              <w:rPr>
                <w:rFonts w:ascii="Arial" w:hAnsi="Arial" w:cs="Arial"/>
                <w:color w:val="000000"/>
                <w:sz w:val="24"/>
                <w:szCs w:val="24"/>
              </w:rPr>
              <w:t>22.2%</w:t>
            </w:r>
          </w:p>
        </w:tc>
      </w:tr>
      <w:tr w:rsidR="000E2560" w:rsidRPr="000E2560" w14:paraId="0B3EBB92" w14:textId="77777777" w:rsidTr="000E2560">
        <w:trPr>
          <w:trHeight w:val="69"/>
        </w:trPr>
        <w:tc>
          <w:tcPr>
            <w:tcW w:w="1020" w:type="pct"/>
            <w:tcBorders>
              <w:top w:val="nil"/>
              <w:left w:val="single" w:sz="8" w:space="0" w:color="8EAADB"/>
              <w:bottom w:val="single" w:sz="8" w:space="0" w:color="8EAADB"/>
              <w:right w:val="single" w:sz="8" w:space="0" w:color="8EAADB"/>
            </w:tcBorders>
            <w:noWrap/>
            <w:tcMar>
              <w:top w:w="0" w:type="dxa"/>
              <w:left w:w="108" w:type="dxa"/>
              <w:bottom w:w="0" w:type="dxa"/>
              <w:right w:w="108" w:type="dxa"/>
            </w:tcMar>
            <w:hideMark/>
          </w:tcPr>
          <w:p w14:paraId="20845384" w14:textId="77777777" w:rsidR="000E2560" w:rsidRPr="000E2560" w:rsidRDefault="000E2560">
            <w:pPr>
              <w:spacing w:line="252" w:lineRule="auto"/>
              <w:rPr>
                <w:rFonts w:ascii="Arial" w:hAnsi="Arial" w:cs="Arial"/>
                <w:b/>
                <w:bCs/>
                <w:color w:val="000000"/>
                <w:sz w:val="24"/>
                <w:szCs w:val="24"/>
              </w:rPr>
            </w:pPr>
            <w:r w:rsidRPr="000E2560">
              <w:rPr>
                <w:rFonts w:ascii="Arial" w:hAnsi="Arial" w:cs="Arial"/>
                <w:b/>
                <w:bCs/>
                <w:color w:val="000000"/>
                <w:sz w:val="24"/>
                <w:szCs w:val="24"/>
              </w:rPr>
              <w:t>Liverpool</w:t>
            </w:r>
          </w:p>
        </w:tc>
        <w:tc>
          <w:tcPr>
            <w:tcW w:w="1326" w:type="pct"/>
            <w:tcBorders>
              <w:top w:val="nil"/>
              <w:left w:val="nil"/>
              <w:bottom w:val="single" w:sz="8" w:space="0" w:color="8EAADB"/>
              <w:right w:val="single" w:sz="8" w:space="0" w:color="8EAADB"/>
            </w:tcBorders>
            <w:noWrap/>
            <w:tcMar>
              <w:top w:w="0" w:type="dxa"/>
              <w:left w:w="108" w:type="dxa"/>
              <w:bottom w:w="0" w:type="dxa"/>
              <w:right w:w="108" w:type="dxa"/>
            </w:tcMar>
            <w:hideMark/>
          </w:tcPr>
          <w:p w14:paraId="0F84A9B3" w14:textId="77777777" w:rsidR="000E2560" w:rsidRPr="000E2560" w:rsidRDefault="000E2560">
            <w:pPr>
              <w:spacing w:line="252" w:lineRule="auto"/>
              <w:jc w:val="center"/>
              <w:rPr>
                <w:rFonts w:ascii="Arial" w:hAnsi="Arial" w:cs="Arial"/>
                <w:sz w:val="24"/>
                <w:szCs w:val="24"/>
              </w:rPr>
            </w:pPr>
            <w:r w:rsidRPr="000E2560">
              <w:rPr>
                <w:rFonts w:ascii="Arial" w:hAnsi="Arial" w:cs="Arial"/>
                <w:sz w:val="24"/>
                <w:szCs w:val="24"/>
              </w:rPr>
              <w:t>73.1%</w:t>
            </w:r>
          </w:p>
        </w:tc>
        <w:tc>
          <w:tcPr>
            <w:tcW w:w="1326" w:type="pct"/>
            <w:tcBorders>
              <w:top w:val="nil"/>
              <w:left w:val="nil"/>
              <w:bottom w:val="single" w:sz="8" w:space="0" w:color="8EAADB"/>
              <w:right w:val="single" w:sz="8" w:space="0" w:color="8EAADB"/>
            </w:tcBorders>
            <w:noWrap/>
            <w:tcMar>
              <w:top w:w="0" w:type="dxa"/>
              <w:left w:w="108" w:type="dxa"/>
              <w:bottom w:w="0" w:type="dxa"/>
              <w:right w:w="108" w:type="dxa"/>
            </w:tcMar>
            <w:hideMark/>
          </w:tcPr>
          <w:p w14:paraId="6F6EFB16" w14:textId="77777777" w:rsidR="000E2560" w:rsidRPr="000E2560" w:rsidRDefault="000E2560">
            <w:pPr>
              <w:spacing w:line="252" w:lineRule="auto"/>
              <w:jc w:val="center"/>
              <w:rPr>
                <w:rFonts w:ascii="Arial" w:hAnsi="Arial" w:cs="Arial"/>
                <w:sz w:val="24"/>
                <w:szCs w:val="24"/>
              </w:rPr>
            </w:pPr>
            <w:r w:rsidRPr="000E2560">
              <w:rPr>
                <w:rFonts w:ascii="Arial" w:hAnsi="Arial" w:cs="Arial"/>
                <w:sz w:val="24"/>
                <w:szCs w:val="24"/>
              </w:rPr>
              <w:t>6.0%</w:t>
            </w:r>
          </w:p>
        </w:tc>
        <w:tc>
          <w:tcPr>
            <w:tcW w:w="1327" w:type="pct"/>
            <w:tcBorders>
              <w:top w:val="nil"/>
              <w:left w:val="nil"/>
              <w:bottom w:val="single" w:sz="8" w:space="0" w:color="8EAADB"/>
              <w:right w:val="single" w:sz="8" w:space="0" w:color="8EAADB"/>
            </w:tcBorders>
            <w:noWrap/>
            <w:tcMar>
              <w:top w:w="0" w:type="dxa"/>
              <w:left w:w="108" w:type="dxa"/>
              <w:bottom w:w="0" w:type="dxa"/>
              <w:right w:w="108" w:type="dxa"/>
            </w:tcMar>
            <w:hideMark/>
          </w:tcPr>
          <w:p w14:paraId="0FA36AA3" w14:textId="77777777" w:rsidR="000E2560" w:rsidRPr="000E2560" w:rsidRDefault="000E2560">
            <w:pPr>
              <w:spacing w:line="252" w:lineRule="auto"/>
              <w:jc w:val="center"/>
              <w:rPr>
                <w:rFonts w:ascii="Arial" w:hAnsi="Arial" w:cs="Arial"/>
                <w:sz w:val="24"/>
                <w:szCs w:val="24"/>
              </w:rPr>
            </w:pPr>
            <w:r w:rsidRPr="000E2560">
              <w:rPr>
                <w:rFonts w:ascii="Arial" w:hAnsi="Arial" w:cs="Arial"/>
                <w:sz w:val="24"/>
                <w:szCs w:val="24"/>
              </w:rPr>
              <w:t>22.2%</w:t>
            </w:r>
          </w:p>
        </w:tc>
      </w:tr>
      <w:tr w:rsidR="000E2560" w:rsidRPr="000E2560" w14:paraId="31772005" w14:textId="77777777" w:rsidTr="000E2560">
        <w:trPr>
          <w:trHeight w:val="69"/>
        </w:trPr>
        <w:tc>
          <w:tcPr>
            <w:tcW w:w="1020" w:type="pct"/>
            <w:tcBorders>
              <w:top w:val="nil"/>
              <w:left w:val="single" w:sz="8" w:space="0" w:color="8EAADB"/>
              <w:bottom w:val="single" w:sz="8" w:space="0" w:color="8EAADB"/>
              <w:right w:val="single" w:sz="8" w:space="0" w:color="8EAADB"/>
            </w:tcBorders>
            <w:shd w:val="clear" w:color="auto" w:fill="D9E2F3"/>
            <w:noWrap/>
            <w:tcMar>
              <w:top w:w="0" w:type="dxa"/>
              <w:left w:w="108" w:type="dxa"/>
              <w:bottom w:w="0" w:type="dxa"/>
              <w:right w:w="108" w:type="dxa"/>
            </w:tcMar>
            <w:hideMark/>
          </w:tcPr>
          <w:p w14:paraId="00AE870A" w14:textId="77777777" w:rsidR="000E2560" w:rsidRPr="000E2560" w:rsidRDefault="000E2560">
            <w:pPr>
              <w:spacing w:line="252" w:lineRule="auto"/>
              <w:rPr>
                <w:rFonts w:ascii="Arial" w:hAnsi="Arial" w:cs="Arial"/>
                <w:b/>
                <w:bCs/>
                <w:color w:val="000000"/>
                <w:sz w:val="24"/>
                <w:szCs w:val="24"/>
              </w:rPr>
            </w:pPr>
            <w:r w:rsidRPr="000E2560">
              <w:rPr>
                <w:rFonts w:ascii="Arial" w:hAnsi="Arial" w:cs="Arial"/>
                <w:b/>
                <w:bCs/>
                <w:color w:val="000000"/>
                <w:sz w:val="24"/>
                <w:szCs w:val="24"/>
              </w:rPr>
              <w:t>Sefton</w:t>
            </w:r>
          </w:p>
        </w:tc>
        <w:tc>
          <w:tcPr>
            <w:tcW w:w="1326" w:type="pct"/>
            <w:tcBorders>
              <w:top w:val="nil"/>
              <w:left w:val="nil"/>
              <w:bottom w:val="single" w:sz="8" w:space="0" w:color="8EAADB"/>
              <w:right w:val="single" w:sz="8" w:space="0" w:color="8EAADB"/>
            </w:tcBorders>
            <w:shd w:val="clear" w:color="auto" w:fill="D9E2F3"/>
            <w:noWrap/>
            <w:tcMar>
              <w:top w:w="0" w:type="dxa"/>
              <w:left w:w="108" w:type="dxa"/>
              <w:bottom w:w="0" w:type="dxa"/>
              <w:right w:w="108" w:type="dxa"/>
            </w:tcMar>
            <w:hideMark/>
          </w:tcPr>
          <w:p w14:paraId="427F4A8C" w14:textId="77777777" w:rsidR="000E2560" w:rsidRPr="000E2560" w:rsidRDefault="000E2560">
            <w:pPr>
              <w:spacing w:line="252" w:lineRule="auto"/>
              <w:jc w:val="center"/>
              <w:rPr>
                <w:rFonts w:ascii="Arial" w:hAnsi="Arial" w:cs="Arial"/>
                <w:sz w:val="24"/>
                <w:szCs w:val="24"/>
              </w:rPr>
            </w:pPr>
            <w:r w:rsidRPr="000E2560">
              <w:rPr>
                <w:rFonts w:ascii="Arial" w:hAnsi="Arial" w:cs="Arial"/>
                <w:color w:val="000000"/>
                <w:sz w:val="24"/>
                <w:szCs w:val="24"/>
              </w:rPr>
              <w:t>74.9%</w:t>
            </w:r>
          </w:p>
        </w:tc>
        <w:tc>
          <w:tcPr>
            <w:tcW w:w="1326" w:type="pct"/>
            <w:tcBorders>
              <w:top w:val="nil"/>
              <w:left w:val="nil"/>
              <w:bottom w:val="single" w:sz="8" w:space="0" w:color="8EAADB"/>
              <w:right w:val="single" w:sz="8" w:space="0" w:color="8EAADB"/>
            </w:tcBorders>
            <w:shd w:val="clear" w:color="auto" w:fill="D9E2F3"/>
            <w:noWrap/>
            <w:tcMar>
              <w:top w:w="0" w:type="dxa"/>
              <w:left w:w="108" w:type="dxa"/>
              <w:bottom w:w="0" w:type="dxa"/>
              <w:right w:w="108" w:type="dxa"/>
            </w:tcMar>
            <w:hideMark/>
          </w:tcPr>
          <w:p w14:paraId="285BB461" w14:textId="77777777" w:rsidR="000E2560" w:rsidRPr="000E2560" w:rsidRDefault="000E2560">
            <w:pPr>
              <w:spacing w:line="252" w:lineRule="auto"/>
              <w:jc w:val="center"/>
              <w:rPr>
                <w:rFonts w:ascii="Arial" w:hAnsi="Arial" w:cs="Arial"/>
                <w:sz w:val="24"/>
                <w:szCs w:val="24"/>
              </w:rPr>
            </w:pPr>
            <w:r w:rsidRPr="000E2560">
              <w:rPr>
                <w:rFonts w:ascii="Arial" w:hAnsi="Arial" w:cs="Arial"/>
                <w:color w:val="000000"/>
                <w:sz w:val="24"/>
                <w:szCs w:val="24"/>
              </w:rPr>
              <w:t>3.2%</w:t>
            </w:r>
          </w:p>
        </w:tc>
        <w:tc>
          <w:tcPr>
            <w:tcW w:w="1327" w:type="pct"/>
            <w:tcBorders>
              <w:top w:val="nil"/>
              <w:left w:val="nil"/>
              <w:bottom w:val="single" w:sz="8" w:space="0" w:color="8EAADB"/>
              <w:right w:val="single" w:sz="8" w:space="0" w:color="8EAADB"/>
            </w:tcBorders>
            <w:shd w:val="clear" w:color="auto" w:fill="D9E2F3"/>
            <w:noWrap/>
            <w:tcMar>
              <w:top w:w="0" w:type="dxa"/>
              <w:left w:w="108" w:type="dxa"/>
              <w:bottom w:w="0" w:type="dxa"/>
              <w:right w:w="108" w:type="dxa"/>
            </w:tcMar>
            <w:hideMark/>
          </w:tcPr>
          <w:p w14:paraId="6123B22C" w14:textId="77777777" w:rsidR="000E2560" w:rsidRPr="000E2560" w:rsidRDefault="000E2560">
            <w:pPr>
              <w:spacing w:line="252" w:lineRule="auto"/>
              <w:jc w:val="center"/>
              <w:rPr>
                <w:rFonts w:ascii="Arial" w:hAnsi="Arial" w:cs="Arial"/>
                <w:sz w:val="24"/>
                <w:szCs w:val="24"/>
              </w:rPr>
            </w:pPr>
            <w:r w:rsidRPr="000E2560">
              <w:rPr>
                <w:rFonts w:ascii="Arial" w:hAnsi="Arial" w:cs="Arial"/>
                <w:color w:val="000000"/>
                <w:sz w:val="24"/>
                <w:szCs w:val="24"/>
              </w:rPr>
              <w:t>22.6%</w:t>
            </w:r>
          </w:p>
        </w:tc>
      </w:tr>
      <w:tr w:rsidR="000E2560" w:rsidRPr="000E2560" w14:paraId="73D84E1A" w14:textId="77777777" w:rsidTr="000E2560">
        <w:trPr>
          <w:trHeight w:val="69"/>
        </w:trPr>
        <w:tc>
          <w:tcPr>
            <w:tcW w:w="1020" w:type="pct"/>
            <w:tcBorders>
              <w:top w:val="nil"/>
              <w:left w:val="single" w:sz="8" w:space="0" w:color="8EAADB"/>
              <w:bottom w:val="single" w:sz="8" w:space="0" w:color="8EAADB"/>
              <w:right w:val="single" w:sz="8" w:space="0" w:color="8EAADB"/>
            </w:tcBorders>
            <w:noWrap/>
            <w:tcMar>
              <w:top w:w="0" w:type="dxa"/>
              <w:left w:w="108" w:type="dxa"/>
              <w:bottom w:w="0" w:type="dxa"/>
              <w:right w:w="108" w:type="dxa"/>
            </w:tcMar>
            <w:hideMark/>
          </w:tcPr>
          <w:p w14:paraId="42143815" w14:textId="77777777" w:rsidR="000E2560" w:rsidRPr="000E2560" w:rsidRDefault="000E2560">
            <w:pPr>
              <w:spacing w:line="252" w:lineRule="auto"/>
              <w:rPr>
                <w:rFonts w:ascii="Arial" w:hAnsi="Arial" w:cs="Arial"/>
                <w:b/>
                <w:bCs/>
                <w:color w:val="000000"/>
                <w:sz w:val="24"/>
                <w:szCs w:val="24"/>
              </w:rPr>
            </w:pPr>
            <w:r w:rsidRPr="000E2560">
              <w:rPr>
                <w:rFonts w:ascii="Arial" w:hAnsi="Arial" w:cs="Arial"/>
                <w:b/>
                <w:bCs/>
                <w:color w:val="000000"/>
                <w:sz w:val="24"/>
                <w:szCs w:val="24"/>
              </w:rPr>
              <w:t>St Helens</w:t>
            </w:r>
          </w:p>
        </w:tc>
        <w:tc>
          <w:tcPr>
            <w:tcW w:w="1326" w:type="pct"/>
            <w:tcBorders>
              <w:top w:val="nil"/>
              <w:left w:val="nil"/>
              <w:bottom w:val="single" w:sz="8" w:space="0" w:color="8EAADB"/>
              <w:right w:val="single" w:sz="8" w:space="0" w:color="8EAADB"/>
            </w:tcBorders>
            <w:noWrap/>
            <w:tcMar>
              <w:top w:w="0" w:type="dxa"/>
              <w:left w:w="108" w:type="dxa"/>
              <w:bottom w:w="0" w:type="dxa"/>
              <w:right w:w="108" w:type="dxa"/>
            </w:tcMar>
            <w:hideMark/>
          </w:tcPr>
          <w:p w14:paraId="1CB8566C" w14:textId="77777777" w:rsidR="000E2560" w:rsidRPr="000E2560" w:rsidRDefault="000E2560">
            <w:pPr>
              <w:spacing w:line="252" w:lineRule="auto"/>
              <w:jc w:val="center"/>
              <w:rPr>
                <w:rFonts w:ascii="Arial" w:hAnsi="Arial" w:cs="Arial"/>
                <w:sz w:val="24"/>
                <w:szCs w:val="24"/>
              </w:rPr>
            </w:pPr>
            <w:r w:rsidRPr="000E2560">
              <w:rPr>
                <w:rFonts w:ascii="Arial" w:hAnsi="Arial" w:cs="Arial"/>
                <w:sz w:val="24"/>
                <w:szCs w:val="24"/>
              </w:rPr>
              <w:t>75.0%</w:t>
            </w:r>
          </w:p>
        </w:tc>
        <w:tc>
          <w:tcPr>
            <w:tcW w:w="1326" w:type="pct"/>
            <w:tcBorders>
              <w:top w:val="nil"/>
              <w:left w:val="nil"/>
              <w:bottom w:val="single" w:sz="8" w:space="0" w:color="8EAADB"/>
              <w:right w:val="single" w:sz="8" w:space="0" w:color="8EAADB"/>
            </w:tcBorders>
            <w:noWrap/>
            <w:tcMar>
              <w:top w:w="0" w:type="dxa"/>
              <w:left w:w="108" w:type="dxa"/>
              <w:bottom w:w="0" w:type="dxa"/>
              <w:right w:w="108" w:type="dxa"/>
            </w:tcMar>
            <w:hideMark/>
          </w:tcPr>
          <w:p w14:paraId="66D82A13" w14:textId="77777777" w:rsidR="000E2560" w:rsidRPr="000E2560" w:rsidRDefault="000E2560">
            <w:pPr>
              <w:spacing w:line="252" w:lineRule="auto"/>
              <w:jc w:val="center"/>
              <w:rPr>
                <w:rFonts w:ascii="Arial" w:hAnsi="Arial" w:cs="Arial"/>
                <w:sz w:val="24"/>
                <w:szCs w:val="24"/>
              </w:rPr>
            </w:pPr>
            <w:r w:rsidRPr="000E2560">
              <w:rPr>
                <w:rFonts w:ascii="Arial" w:hAnsi="Arial" w:cs="Arial"/>
                <w:sz w:val="24"/>
                <w:szCs w:val="24"/>
              </w:rPr>
              <w:t>4.9%</w:t>
            </w:r>
          </w:p>
        </w:tc>
        <w:tc>
          <w:tcPr>
            <w:tcW w:w="1327" w:type="pct"/>
            <w:tcBorders>
              <w:top w:val="nil"/>
              <w:left w:val="nil"/>
              <w:bottom w:val="single" w:sz="8" w:space="0" w:color="8EAADB"/>
              <w:right w:val="single" w:sz="8" w:space="0" w:color="8EAADB"/>
            </w:tcBorders>
            <w:noWrap/>
            <w:tcMar>
              <w:top w:w="0" w:type="dxa"/>
              <w:left w:w="108" w:type="dxa"/>
              <w:bottom w:w="0" w:type="dxa"/>
              <w:right w:w="108" w:type="dxa"/>
            </w:tcMar>
            <w:hideMark/>
          </w:tcPr>
          <w:p w14:paraId="0DD307A0" w14:textId="77777777" w:rsidR="000E2560" w:rsidRPr="000E2560" w:rsidRDefault="000E2560">
            <w:pPr>
              <w:spacing w:line="252" w:lineRule="auto"/>
              <w:jc w:val="center"/>
              <w:rPr>
                <w:rFonts w:ascii="Arial" w:hAnsi="Arial" w:cs="Arial"/>
                <w:sz w:val="24"/>
                <w:szCs w:val="24"/>
              </w:rPr>
            </w:pPr>
            <w:r w:rsidRPr="000E2560">
              <w:rPr>
                <w:rFonts w:ascii="Arial" w:hAnsi="Arial" w:cs="Arial"/>
                <w:sz w:val="24"/>
                <w:szCs w:val="24"/>
              </w:rPr>
              <w:t>21.1%</w:t>
            </w:r>
          </w:p>
        </w:tc>
      </w:tr>
      <w:tr w:rsidR="000E2560" w:rsidRPr="000E2560" w14:paraId="26B6C5EE" w14:textId="77777777" w:rsidTr="000E2560">
        <w:trPr>
          <w:trHeight w:val="69"/>
        </w:trPr>
        <w:tc>
          <w:tcPr>
            <w:tcW w:w="1020" w:type="pct"/>
            <w:tcBorders>
              <w:top w:val="nil"/>
              <w:left w:val="single" w:sz="8" w:space="0" w:color="8EAADB"/>
              <w:bottom w:val="single" w:sz="8" w:space="0" w:color="8EAADB"/>
              <w:right w:val="single" w:sz="8" w:space="0" w:color="8EAADB"/>
            </w:tcBorders>
            <w:shd w:val="clear" w:color="auto" w:fill="D9E2F3"/>
            <w:noWrap/>
            <w:tcMar>
              <w:top w:w="0" w:type="dxa"/>
              <w:left w:w="108" w:type="dxa"/>
              <w:bottom w:w="0" w:type="dxa"/>
              <w:right w:w="108" w:type="dxa"/>
            </w:tcMar>
            <w:hideMark/>
          </w:tcPr>
          <w:p w14:paraId="4C393880" w14:textId="77777777" w:rsidR="000E2560" w:rsidRPr="000E2560" w:rsidRDefault="000E2560">
            <w:pPr>
              <w:spacing w:line="252" w:lineRule="auto"/>
              <w:rPr>
                <w:rFonts w:ascii="Arial" w:hAnsi="Arial" w:cs="Arial"/>
                <w:b/>
                <w:bCs/>
                <w:color w:val="000000"/>
                <w:sz w:val="24"/>
                <w:szCs w:val="24"/>
              </w:rPr>
            </w:pPr>
            <w:r w:rsidRPr="000E2560">
              <w:rPr>
                <w:rFonts w:ascii="Arial" w:hAnsi="Arial" w:cs="Arial"/>
                <w:b/>
                <w:bCs/>
                <w:color w:val="000000"/>
                <w:sz w:val="24"/>
                <w:szCs w:val="24"/>
              </w:rPr>
              <w:t>Wirral</w:t>
            </w:r>
          </w:p>
        </w:tc>
        <w:tc>
          <w:tcPr>
            <w:tcW w:w="1326" w:type="pct"/>
            <w:tcBorders>
              <w:top w:val="nil"/>
              <w:left w:val="nil"/>
              <w:bottom w:val="single" w:sz="8" w:space="0" w:color="8EAADB"/>
              <w:right w:val="single" w:sz="8" w:space="0" w:color="8EAADB"/>
            </w:tcBorders>
            <w:shd w:val="clear" w:color="auto" w:fill="D9E2F3"/>
            <w:noWrap/>
            <w:tcMar>
              <w:top w:w="0" w:type="dxa"/>
              <w:left w:w="108" w:type="dxa"/>
              <w:bottom w:w="0" w:type="dxa"/>
              <w:right w:w="108" w:type="dxa"/>
            </w:tcMar>
            <w:hideMark/>
          </w:tcPr>
          <w:p w14:paraId="4A39667C" w14:textId="77777777" w:rsidR="000E2560" w:rsidRPr="000E2560" w:rsidRDefault="000E2560">
            <w:pPr>
              <w:spacing w:line="252" w:lineRule="auto"/>
              <w:jc w:val="center"/>
              <w:rPr>
                <w:rFonts w:ascii="Arial" w:hAnsi="Arial" w:cs="Arial"/>
                <w:sz w:val="24"/>
                <w:szCs w:val="24"/>
              </w:rPr>
            </w:pPr>
            <w:r w:rsidRPr="000E2560">
              <w:rPr>
                <w:rFonts w:ascii="Arial" w:hAnsi="Arial" w:cs="Arial"/>
                <w:color w:val="000000"/>
                <w:sz w:val="24"/>
                <w:szCs w:val="24"/>
              </w:rPr>
              <w:t>70.7%</w:t>
            </w:r>
          </w:p>
        </w:tc>
        <w:tc>
          <w:tcPr>
            <w:tcW w:w="1326" w:type="pct"/>
            <w:tcBorders>
              <w:top w:val="nil"/>
              <w:left w:val="nil"/>
              <w:bottom w:val="single" w:sz="8" w:space="0" w:color="8EAADB"/>
              <w:right w:val="single" w:sz="8" w:space="0" w:color="8EAADB"/>
            </w:tcBorders>
            <w:shd w:val="clear" w:color="auto" w:fill="D9E2F3"/>
            <w:noWrap/>
            <w:tcMar>
              <w:top w:w="0" w:type="dxa"/>
              <w:left w:w="108" w:type="dxa"/>
              <w:bottom w:w="0" w:type="dxa"/>
              <w:right w:w="108" w:type="dxa"/>
            </w:tcMar>
            <w:hideMark/>
          </w:tcPr>
          <w:p w14:paraId="171D70AD" w14:textId="77777777" w:rsidR="000E2560" w:rsidRPr="000E2560" w:rsidRDefault="000E2560">
            <w:pPr>
              <w:spacing w:line="252" w:lineRule="auto"/>
              <w:jc w:val="center"/>
              <w:rPr>
                <w:rFonts w:ascii="Arial" w:hAnsi="Arial" w:cs="Arial"/>
                <w:sz w:val="24"/>
                <w:szCs w:val="24"/>
              </w:rPr>
            </w:pPr>
            <w:r w:rsidRPr="000E2560">
              <w:rPr>
                <w:rFonts w:ascii="Arial" w:hAnsi="Arial" w:cs="Arial"/>
                <w:color w:val="000000"/>
                <w:sz w:val="24"/>
                <w:szCs w:val="24"/>
              </w:rPr>
              <w:t>3.7%</w:t>
            </w:r>
          </w:p>
        </w:tc>
        <w:tc>
          <w:tcPr>
            <w:tcW w:w="1327" w:type="pct"/>
            <w:tcBorders>
              <w:top w:val="nil"/>
              <w:left w:val="nil"/>
              <w:bottom w:val="single" w:sz="8" w:space="0" w:color="8EAADB"/>
              <w:right w:val="single" w:sz="8" w:space="0" w:color="8EAADB"/>
            </w:tcBorders>
            <w:shd w:val="clear" w:color="auto" w:fill="D9E2F3"/>
            <w:noWrap/>
            <w:tcMar>
              <w:top w:w="0" w:type="dxa"/>
              <w:left w:w="108" w:type="dxa"/>
              <w:bottom w:w="0" w:type="dxa"/>
              <w:right w:w="108" w:type="dxa"/>
            </w:tcMar>
            <w:hideMark/>
          </w:tcPr>
          <w:p w14:paraId="5F785737" w14:textId="77777777" w:rsidR="000E2560" w:rsidRPr="000E2560" w:rsidRDefault="000E2560">
            <w:pPr>
              <w:spacing w:line="252" w:lineRule="auto"/>
              <w:jc w:val="center"/>
              <w:rPr>
                <w:rFonts w:ascii="Arial" w:hAnsi="Arial" w:cs="Arial"/>
                <w:sz w:val="24"/>
                <w:szCs w:val="24"/>
              </w:rPr>
            </w:pPr>
            <w:r w:rsidRPr="000E2560">
              <w:rPr>
                <w:rFonts w:ascii="Arial" w:hAnsi="Arial" w:cs="Arial"/>
                <w:color w:val="000000"/>
                <w:sz w:val="24"/>
                <w:szCs w:val="24"/>
              </w:rPr>
              <w:t>26.6%</w:t>
            </w:r>
          </w:p>
        </w:tc>
      </w:tr>
      <w:tr w:rsidR="000E2560" w:rsidRPr="000E2560" w14:paraId="5A6D3E6E" w14:textId="77777777" w:rsidTr="000E2560">
        <w:trPr>
          <w:trHeight w:val="69"/>
        </w:trPr>
        <w:tc>
          <w:tcPr>
            <w:tcW w:w="1020" w:type="pct"/>
            <w:tcBorders>
              <w:top w:val="nil"/>
              <w:left w:val="single" w:sz="8" w:space="0" w:color="8EAADB"/>
              <w:bottom w:val="single" w:sz="8" w:space="0" w:color="8EAADB"/>
              <w:right w:val="single" w:sz="8" w:space="0" w:color="8EAADB"/>
            </w:tcBorders>
            <w:shd w:val="clear" w:color="auto" w:fill="FFC000"/>
            <w:noWrap/>
            <w:tcMar>
              <w:top w:w="0" w:type="dxa"/>
              <w:left w:w="108" w:type="dxa"/>
              <w:bottom w:w="0" w:type="dxa"/>
              <w:right w:w="108" w:type="dxa"/>
            </w:tcMar>
            <w:hideMark/>
          </w:tcPr>
          <w:p w14:paraId="4CD3F2FB" w14:textId="77777777" w:rsidR="000E2560" w:rsidRPr="000E2560" w:rsidRDefault="000E2560">
            <w:pPr>
              <w:spacing w:line="252" w:lineRule="auto"/>
              <w:rPr>
                <w:rFonts w:ascii="Arial" w:hAnsi="Arial" w:cs="Arial"/>
                <w:b/>
                <w:bCs/>
                <w:color w:val="000000"/>
                <w:sz w:val="24"/>
                <w:szCs w:val="24"/>
              </w:rPr>
            </w:pPr>
            <w:r w:rsidRPr="000E2560">
              <w:rPr>
                <w:rFonts w:ascii="Arial" w:hAnsi="Arial" w:cs="Arial"/>
                <w:b/>
                <w:bCs/>
                <w:color w:val="000000"/>
                <w:sz w:val="24"/>
                <w:szCs w:val="24"/>
              </w:rPr>
              <w:t>LCR</w:t>
            </w:r>
          </w:p>
        </w:tc>
        <w:tc>
          <w:tcPr>
            <w:tcW w:w="1326" w:type="pct"/>
            <w:tcBorders>
              <w:top w:val="nil"/>
              <w:left w:val="nil"/>
              <w:bottom w:val="single" w:sz="8" w:space="0" w:color="8EAADB"/>
              <w:right w:val="single" w:sz="8" w:space="0" w:color="8EAADB"/>
            </w:tcBorders>
            <w:shd w:val="clear" w:color="auto" w:fill="FFC000"/>
            <w:noWrap/>
            <w:tcMar>
              <w:top w:w="0" w:type="dxa"/>
              <w:left w:w="108" w:type="dxa"/>
              <w:bottom w:w="0" w:type="dxa"/>
              <w:right w:w="108" w:type="dxa"/>
            </w:tcMar>
            <w:hideMark/>
          </w:tcPr>
          <w:p w14:paraId="7A1D77DF" w14:textId="77777777" w:rsidR="000E2560" w:rsidRPr="000E2560" w:rsidRDefault="000E2560">
            <w:pPr>
              <w:spacing w:line="252" w:lineRule="auto"/>
              <w:jc w:val="center"/>
              <w:rPr>
                <w:rFonts w:ascii="Arial" w:hAnsi="Arial" w:cs="Arial"/>
                <w:sz w:val="24"/>
                <w:szCs w:val="24"/>
              </w:rPr>
            </w:pPr>
            <w:r w:rsidRPr="000E2560">
              <w:rPr>
                <w:rFonts w:ascii="Arial" w:hAnsi="Arial" w:cs="Arial"/>
                <w:color w:val="000000"/>
                <w:sz w:val="24"/>
                <w:szCs w:val="24"/>
              </w:rPr>
              <w:t>73.6%</w:t>
            </w:r>
          </w:p>
        </w:tc>
        <w:tc>
          <w:tcPr>
            <w:tcW w:w="1326" w:type="pct"/>
            <w:tcBorders>
              <w:top w:val="nil"/>
              <w:left w:val="nil"/>
              <w:bottom w:val="single" w:sz="8" w:space="0" w:color="8EAADB"/>
              <w:right w:val="single" w:sz="8" w:space="0" w:color="8EAADB"/>
            </w:tcBorders>
            <w:shd w:val="clear" w:color="auto" w:fill="FFC000"/>
            <w:noWrap/>
            <w:tcMar>
              <w:top w:w="0" w:type="dxa"/>
              <w:left w:w="108" w:type="dxa"/>
              <w:bottom w:w="0" w:type="dxa"/>
              <w:right w:w="108" w:type="dxa"/>
            </w:tcMar>
            <w:hideMark/>
          </w:tcPr>
          <w:p w14:paraId="578CAD68" w14:textId="77777777" w:rsidR="000E2560" w:rsidRPr="000E2560" w:rsidRDefault="000E2560">
            <w:pPr>
              <w:spacing w:line="252" w:lineRule="auto"/>
              <w:jc w:val="center"/>
              <w:rPr>
                <w:rFonts w:ascii="Arial" w:hAnsi="Arial" w:cs="Arial"/>
                <w:sz w:val="24"/>
                <w:szCs w:val="24"/>
              </w:rPr>
            </w:pPr>
            <w:r w:rsidRPr="000E2560">
              <w:rPr>
                <w:rFonts w:ascii="Arial" w:hAnsi="Arial" w:cs="Arial"/>
                <w:color w:val="000000"/>
                <w:sz w:val="24"/>
                <w:szCs w:val="24"/>
              </w:rPr>
              <w:t>4.6%</w:t>
            </w:r>
          </w:p>
        </w:tc>
        <w:tc>
          <w:tcPr>
            <w:tcW w:w="1327" w:type="pct"/>
            <w:tcBorders>
              <w:top w:val="nil"/>
              <w:left w:val="nil"/>
              <w:bottom w:val="single" w:sz="8" w:space="0" w:color="8EAADB"/>
              <w:right w:val="single" w:sz="8" w:space="0" w:color="8EAADB"/>
            </w:tcBorders>
            <w:shd w:val="clear" w:color="auto" w:fill="FFC000"/>
            <w:noWrap/>
            <w:tcMar>
              <w:top w:w="0" w:type="dxa"/>
              <w:left w:w="108" w:type="dxa"/>
              <w:bottom w:w="0" w:type="dxa"/>
              <w:right w:w="108" w:type="dxa"/>
            </w:tcMar>
            <w:hideMark/>
          </w:tcPr>
          <w:p w14:paraId="4AE55150" w14:textId="77777777" w:rsidR="000E2560" w:rsidRPr="000E2560" w:rsidRDefault="000E2560">
            <w:pPr>
              <w:spacing w:line="252" w:lineRule="auto"/>
              <w:jc w:val="center"/>
              <w:rPr>
                <w:rFonts w:ascii="Arial" w:hAnsi="Arial" w:cs="Arial"/>
                <w:sz w:val="24"/>
                <w:szCs w:val="24"/>
              </w:rPr>
            </w:pPr>
            <w:r w:rsidRPr="000E2560">
              <w:rPr>
                <w:rFonts w:ascii="Arial" w:hAnsi="Arial" w:cs="Arial"/>
                <w:color w:val="000000"/>
                <w:sz w:val="24"/>
                <w:szCs w:val="24"/>
              </w:rPr>
              <w:t>22.9%</w:t>
            </w:r>
          </w:p>
        </w:tc>
      </w:tr>
      <w:tr w:rsidR="000E2560" w:rsidRPr="000E2560" w14:paraId="7B3A61B0" w14:textId="77777777" w:rsidTr="000E2560">
        <w:trPr>
          <w:trHeight w:val="69"/>
        </w:trPr>
        <w:tc>
          <w:tcPr>
            <w:tcW w:w="1020" w:type="pct"/>
            <w:tcBorders>
              <w:top w:val="nil"/>
              <w:left w:val="single" w:sz="8" w:space="0" w:color="8EAADB"/>
              <w:bottom w:val="single" w:sz="8" w:space="0" w:color="8EAADB"/>
              <w:right w:val="single" w:sz="8" w:space="0" w:color="8EAADB"/>
            </w:tcBorders>
            <w:shd w:val="clear" w:color="auto" w:fill="D9E2F3"/>
            <w:noWrap/>
            <w:tcMar>
              <w:top w:w="0" w:type="dxa"/>
              <w:left w:w="108" w:type="dxa"/>
              <w:bottom w:w="0" w:type="dxa"/>
              <w:right w:w="108" w:type="dxa"/>
            </w:tcMar>
            <w:hideMark/>
          </w:tcPr>
          <w:p w14:paraId="2C00F008" w14:textId="77777777" w:rsidR="000E2560" w:rsidRPr="000E2560" w:rsidRDefault="000E2560">
            <w:pPr>
              <w:spacing w:line="252" w:lineRule="auto"/>
              <w:rPr>
                <w:rFonts w:ascii="Arial" w:hAnsi="Arial" w:cs="Arial"/>
                <w:b/>
                <w:bCs/>
                <w:color w:val="000000"/>
                <w:sz w:val="24"/>
                <w:szCs w:val="24"/>
              </w:rPr>
            </w:pPr>
            <w:r w:rsidRPr="000E2560">
              <w:rPr>
                <w:rFonts w:ascii="Arial" w:hAnsi="Arial" w:cs="Arial"/>
                <w:b/>
                <w:bCs/>
                <w:color w:val="000000"/>
                <w:sz w:val="24"/>
                <w:szCs w:val="24"/>
              </w:rPr>
              <w:t>England</w:t>
            </w:r>
          </w:p>
        </w:tc>
        <w:tc>
          <w:tcPr>
            <w:tcW w:w="1326" w:type="pct"/>
            <w:tcBorders>
              <w:top w:val="nil"/>
              <w:left w:val="nil"/>
              <w:bottom w:val="single" w:sz="8" w:space="0" w:color="8EAADB"/>
              <w:right w:val="single" w:sz="8" w:space="0" w:color="8EAADB"/>
            </w:tcBorders>
            <w:shd w:val="clear" w:color="auto" w:fill="D9E2F3"/>
            <w:noWrap/>
            <w:tcMar>
              <w:top w:w="0" w:type="dxa"/>
              <w:left w:w="108" w:type="dxa"/>
              <w:bottom w:w="0" w:type="dxa"/>
              <w:right w:w="108" w:type="dxa"/>
            </w:tcMar>
            <w:hideMark/>
          </w:tcPr>
          <w:p w14:paraId="3B05363A" w14:textId="77777777" w:rsidR="000E2560" w:rsidRPr="000E2560" w:rsidRDefault="000E2560">
            <w:pPr>
              <w:spacing w:line="252" w:lineRule="auto"/>
              <w:jc w:val="center"/>
              <w:rPr>
                <w:rFonts w:ascii="Arial" w:hAnsi="Arial" w:cs="Arial"/>
                <w:sz w:val="24"/>
                <w:szCs w:val="24"/>
              </w:rPr>
            </w:pPr>
            <w:r w:rsidRPr="000E2560">
              <w:rPr>
                <w:rFonts w:ascii="Arial" w:hAnsi="Arial" w:cs="Arial"/>
                <w:color w:val="000000"/>
                <w:sz w:val="24"/>
                <w:szCs w:val="24"/>
              </w:rPr>
              <w:t>75.1%</w:t>
            </w:r>
          </w:p>
        </w:tc>
        <w:tc>
          <w:tcPr>
            <w:tcW w:w="1326" w:type="pct"/>
            <w:tcBorders>
              <w:top w:val="nil"/>
              <w:left w:val="nil"/>
              <w:bottom w:val="single" w:sz="8" w:space="0" w:color="8EAADB"/>
              <w:right w:val="single" w:sz="8" w:space="0" w:color="8EAADB"/>
            </w:tcBorders>
            <w:shd w:val="clear" w:color="auto" w:fill="D9E2F3"/>
            <w:noWrap/>
            <w:tcMar>
              <w:top w:w="0" w:type="dxa"/>
              <w:left w:w="108" w:type="dxa"/>
              <w:bottom w:w="0" w:type="dxa"/>
              <w:right w:w="108" w:type="dxa"/>
            </w:tcMar>
            <w:hideMark/>
          </w:tcPr>
          <w:p w14:paraId="51FE284F" w14:textId="77777777" w:rsidR="000E2560" w:rsidRPr="000E2560" w:rsidRDefault="000E2560">
            <w:pPr>
              <w:spacing w:line="252" w:lineRule="auto"/>
              <w:jc w:val="center"/>
              <w:rPr>
                <w:rFonts w:ascii="Arial" w:hAnsi="Arial" w:cs="Arial"/>
                <w:sz w:val="24"/>
                <w:szCs w:val="24"/>
              </w:rPr>
            </w:pPr>
            <w:r w:rsidRPr="000E2560">
              <w:rPr>
                <w:rFonts w:ascii="Arial" w:hAnsi="Arial" w:cs="Arial"/>
                <w:color w:val="000000"/>
                <w:sz w:val="24"/>
                <w:szCs w:val="24"/>
              </w:rPr>
              <w:t>4.6%</w:t>
            </w:r>
          </w:p>
        </w:tc>
        <w:tc>
          <w:tcPr>
            <w:tcW w:w="1327" w:type="pct"/>
            <w:tcBorders>
              <w:top w:val="nil"/>
              <w:left w:val="nil"/>
              <w:bottom w:val="single" w:sz="8" w:space="0" w:color="8EAADB"/>
              <w:right w:val="single" w:sz="8" w:space="0" w:color="8EAADB"/>
            </w:tcBorders>
            <w:shd w:val="clear" w:color="auto" w:fill="D9E2F3"/>
            <w:noWrap/>
            <w:tcMar>
              <w:top w:w="0" w:type="dxa"/>
              <w:left w:w="108" w:type="dxa"/>
              <w:bottom w:w="0" w:type="dxa"/>
              <w:right w:w="108" w:type="dxa"/>
            </w:tcMar>
            <w:hideMark/>
          </w:tcPr>
          <w:p w14:paraId="1E5D455A" w14:textId="77777777" w:rsidR="000E2560" w:rsidRPr="000E2560" w:rsidRDefault="000E2560">
            <w:pPr>
              <w:spacing w:line="252" w:lineRule="auto"/>
              <w:jc w:val="center"/>
              <w:rPr>
                <w:rFonts w:ascii="Arial" w:hAnsi="Arial" w:cs="Arial"/>
                <w:sz w:val="24"/>
                <w:szCs w:val="24"/>
              </w:rPr>
            </w:pPr>
            <w:r w:rsidRPr="000E2560">
              <w:rPr>
                <w:rFonts w:ascii="Arial" w:hAnsi="Arial" w:cs="Arial"/>
                <w:color w:val="000000"/>
                <w:sz w:val="24"/>
                <w:szCs w:val="24"/>
              </w:rPr>
              <w:t>21.3%</w:t>
            </w:r>
          </w:p>
        </w:tc>
      </w:tr>
      <w:tr w:rsidR="000E2560" w:rsidRPr="000E2560" w14:paraId="6F6C0822" w14:textId="77777777" w:rsidTr="000E2560">
        <w:trPr>
          <w:trHeight w:val="16"/>
        </w:trPr>
        <w:tc>
          <w:tcPr>
            <w:tcW w:w="1020" w:type="pct"/>
            <w:tcBorders>
              <w:top w:val="nil"/>
              <w:left w:val="single" w:sz="8" w:space="0" w:color="8EAADB"/>
              <w:bottom w:val="single" w:sz="8" w:space="0" w:color="8EAADB"/>
              <w:right w:val="single" w:sz="8" w:space="0" w:color="8EAADB"/>
            </w:tcBorders>
            <w:noWrap/>
            <w:tcMar>
              <w:top w:w="0" w:type="dxa"/>
              <w:left w:w="108" w:type="dxa"/>
              <w:bottom w:w="0" w:type="dxa"/>
              <w:right w:w="108" w:type="dxa"/>
            </w:tcMar>
            <w:hideMark/>
          </w:tcPr>
          <w:p w14:paraId="09C28E88" w14:textId="77777777" w:rsidR="000E2560" w:rsidRPr="000E2560" w:rsidRDefault="000E2560">
            <w:pPr>
              <w:spacing w:line="252" w:lineRule="auto"/>
              <w:rPr>
                <w:rFonts w:ascii="Arial" w:hAnsi="Arial" w:cs="Arial"/>
                <w:b/>
                <w:bCs/>
                <w:color w:val="000000"/>
                <w:sz w:val="24"/>
                <w:szCs w:val="24"/>
              </w:rPr>
            </w:pPr>
            <w:proofErr w:type="gramStart"/>
            <w:r w:rsidRPr="000E2560">
              <w:rPr>
                <w:rFonts w:ascii="Arial" w:hAnsi="Arial" w:cs="Arial"/>
                <w:b/>
                <w:bCs/>
                <w:color w:val="000000"/>
                <w:sz w:val="24"/>
                <w:szCs w:val="24"/>
              </w:rPr>
              <w:t>North West</w:t>
            </w:r>
            <w:proofErr w:type="gramEnd"/>
          </w:p>
        </w:tc>
        <w:tc>
          <w:tcPr>
            <w:tcW w:w="1326" w:type="pct"/>
            <w:tcBorders>
              <w:top w:val="nil"/>
              <w:left w:val="nil"/>
              <w:bottom w:val="single" w:sz="8" w:space="0" w:color="8EAADB"/>
              <w:right w:val="single" w:sz="8" w:space="0" w:color="8EAADB"/>
            </w:tcBorders>
            <w:noWrap/>
            <w:tcMar>
              <w:top w:w="0" w:type="dxa"/>
              <w:left w:w="108" w:type="dxa"/>
              <w:bottom w:w="0" w:type="dxa"/>
              <w:right w:w="108" w:type="dxa"/>
            </w:tcMar>
            <w:hideMark/>
          </w:tcPr>
          <w:p w14:paraId="07E2B8F9" w14:textId="77777777" w:rsidR="000E2560" w:rsidRPr="000E2560" w:rsidRDefault="000E2560">
            <w:pPr>
              <w:spacing w:line="252" w:lineRule="auto"/>
              <w:jc w:val="center"/>
              <w:rPr>
                <w:rFonts w:ascii="Arial" w:hAnsi="Arial" w:cs="Arial"/>
                <w:sz w:val="24"/>
                <w:szCs w:val="24"/>
              </w:rPr>
            </w:pPr>
            <w:r w:rsidRPr="000E2560">
              <w:rPr>
                <w:rFonts w:ascii="Arial" w:hAnsi="Arial" w:cs="Arial"/>
                <w:sz w:val="24"/>
                <w:szCs w:val="24"/>
              </w:rPr>
              <w:t>72.9%</w:t>
            </w:r>
          </w:p>
        </w:tc>
        <w:tc>
          <w:tcPr>
            <w:tcW w:w="1326" w:type="pct"/>
            <w:tcBorders>
              <w:top w:val="nil"/>
              <w:left w:val="nil"/>
              <w:bottom w:val="single" w:sz="8" w:space="0" w:color="8EAADB"/>
              <w:right w:val="single" w:sz="8" w:space="0" w:color="8EAADB"/>
            </w:tcBorders>
            <w:noWrap/>
            <w:tcMar>
              <w:top w:w="0" w:type="dxa"/>
              <w:left w:w="108" w:type="dxa"/>
              <w:bottom w:w="0" w:type="dxa"/>
              <w:right w:w="108" w:type="dxa"/>
            </w:tcMar>
            <w:hideMark/>
          </w:tcPr>
          <w:p w14:paraId="1FDED976" w14:textId="77777777" w:rsidR="000E2560" w:rsidRPr="000E2560" w:rsidRDefault="000E2560">
            <w:pPr>
              <w:spacing w:line="252" w:lineRule="auto"/>
              <w:jc w:val="center"/>
              <w:rPr>
                <w:rFonts w:ascii="Arial" w:hAnsi="Arial" w:cs="Arial"/>
                <w:sz w:val="24"/>
                <w:szCs w:val="24"/>
              </w:rPr>
            </w:pPr>
            <w:r w:rsidRPr="000E2560">
              <w:rPr>
                <w:rFonts w:ascii="Arial" w:hAnsi="Arial" w:cs="Arial"/>
                <w:sz w:val="24"/>
                <w:szCs w:val="24"/>
              </w:rPr>
              <w:t>4.7%</w:t>
            </w:r>
          </w:p>
        </w:tc>
        <w:tc>
          <w:tcPr>
            <w:tcW w:w="1327" w:type="pct"/>
            <w:tcBorders>
              <w:top w:val="nil"/>
              <w:left w:val="nil"/>
              <w:bottom w:val="single" w:sz="8" w:space="0" w:color="8EAADB"/>
              <w:right w:val="single" w:sz="8" w:space="0" w:color="8EAADB"/>
            </w:tcBorders>
            <w:noWrap/>
            <w:tcMar>
              <w:top w:w="0" w:type="dxa"/>
              <w:left w:w="108" w:type="dxa"/>
              <w:bottom w:w="0" w:type="dxa"/>
              <w:right w:w="108" w:type="dxa"/>
            </w:tcMar>
            <w:hideMark/>
          </w:tcPr>
          <w:p w14:paraId="434955C4" w14:textId="77777777" w:rsidR="000E2560" w:rsidRPr="000E2560" w:rsidRDefault="000E2560">
            <w:pPr>
              <w:spacing w:line="252" w:lineRule="auto"/>
              <w:jc w:val="center"/>
              <w:rPr>
                <w:rFonts w:ascii="Arial" w:hAnsi="Arial" w:cs="Arial"/>
                <w:sz w:val="24"/>
                <w:szCs w:val="24"/>
              </w:rPr>
            </w:pPr>
            <w:r w:rsidRPr="000E2560">
              <w:rPr>
                <w:rFonts w:ascii="Arial" w:hAnsi="Arial" w:cs="Arial"/>
                <w:sz w:val="24"/>
                <w:szCs w:val="24"/>
              </w:rPr>
              <w:t>23.5%</w:t>
            </w:r>
          </w:p>
        </w:tc>
      </w:tr>
    </w:tbl>
    <w:p w14:paraId="7193394B" w14:textId="77777777" w:rsidR="000E2560" w:rsidRPr="000E2560" w:rsidRDefault="000E2560">
      <w:pPr>
        <w:rPr>
          <w:rFonts w:ascii="Arial" w:hAnsi="Arial" w:cs="Arial"/>
        </w:rPr>
      </w:pPr>
    </w:p>
    <w:sectPr w:rsidR="000E2560" w:rsidRPr="000E25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EEA"/>
    <w:multiLevelType w:val="hybridMultilevel"/>
    <w:tmpl w:val="B0CAD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6CF189E"/>
    <w:multiLevelType w:val="hybridMultilevel"/>
    <w:tmpl w:val="2D128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251D39"/>
    <w:multiLevelType w:val="hybridMultilevel"/>
    <w:tmpl w:val="9A483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DD73270"/>
    <w:multiLevelType w:val="hybridMultilevel"/>
    <w:tmpl w:val="8506A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6130EB7"/>
    <w:multiLevelType w:val="hybridMultilevel"/>
    <w:tmpl w:val="634E1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80988398">
    <w:abstractNumId w:val="2"/>
    <w:lvlOverride w:ilvl="0"/>
    <w:lvlOverride w:ilvl="1"/>
    <w:lvlOverride w:ilvl="2"/>
    <w:lvlOverride w:ilvl="3"/>
    <w:lvlOverride w:ilvl="4"/>
    <w:lvlOverride w:ilvl="5"/>
    <w:lvlOverride w:ilvl="6"/>
    <w:lvlOverride w:ilvl="7"/>
    <w:lvlOverride w:ilvl="8"/>
  </w:num>
  <w:num w:numId="2" w16cid:durableId="1585651185">
    <w:abstractNumId w:val="0"/>
    <w:lvlOverride w:ilvl="0"/>
    <w:lvlOverride w:ilvl="1"/>
    <w:lvlOverride w:ilvl="2"/>
    <w:lvlOverride w:ilvl="3"/>
    <w:lvlOverride w:ilvl="4"/>
    <w:lvlOverride w:ilvl="5"/>
    <w:lvlOverride w:ilvl="6"/>
    <w:lvlOverride w:ilvl="7"/>
    <w:lvlOverride w:ilvl="8"/>
  </w:num>
  <w:num w:numId="3" w16cid:durableId="1943293132">
    <w:abstractNumId w:val="3"/>
    <w:lvlOverride w:ilvl="0"/>
    <w:lvlOverride w:ilvl="1"/>
    <w:lvlOverride w:ilvl="2"/>
    <w:lvlOverride w:ilvl="3"/>
    <w:lvlOverride w:ilvl="4"/>
    <w:lvlOverride w:ilvl="5"/>
    <w:lvlOverride w:ilvl="6"/>
    <w:lvlOverride w:ilvl="7"/>
    <w:lvlOverride w:ilvl="8"/>
  </w:num>
  <w:num w:numId="4" w16cid:durableId="3020917">
    <w:abstractNumId w:val="1"/>
    <w:lvlOverride w:ilvl="0"/>
    <w:lvlOverride w:ilvl="1"/>
    <w:lvlOverride w:ilvl="2"/>
    <w:lvlOverride w:ilvl="3"/>
    <w:lvlOverride w:ilvl="4"/>
    <w:lvlOverride w:ilvl="5"/>
    <w:lvlOverride w:ilvl="6"/>
    <w:lvlOverride w:ilvl="7"/>
    <w:lvlOverride w:ilvl="8"/>
  </w:num>
  <w:num w:numId="5" w16cid:durableId="225843514">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560"/>
    <w:rsid w:val="000E2560"/>
    <w:rsid w:val="00936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C01C"/>
  <w15:chartTrackingRefBased/>
  <w15:docId w15:val="{25707B5B-1D0F-4A61-9E38-BFBB80DC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F5 List Paragraph Char,List Paragraph1 Char,List Paragraph11 Char,Dot pt Char,Colorful List - Accent 11 Char,No Spacing1 Char,List Paragraph Char Char Char Char,Indicator Text Char,Numbered Para 1 Char,Bullet 1 Char,MAIN CONTENT Char"/>
    <w:basedOn w:val="DefaultParagraphFont"/>
    <w:link w:val="ListParagraph"/>
    <w:uiPriority w:val="34"/>
    <w:locked/>
    <w:rsid w:val="000E2560"/>
  </w:style>
  <w:style w:type="paragraph" w:styleId="ListParagraph">
    <w:name w:val="List Paragraph"/>
    <w:aliases w:val="F5 List Paragraph,List Paragraph1,List Paragraph11,Dot pt,Colorful List - Accent 11,No Spacing1,List Paragraph Char Char Char,Indicator Text,Numbered Para 1,Bullet 1,List Paragraph2,MAIN CONTENT,List Paragraph12,OBC Bullet,L,LCC List"/>
    <w:basedOn w:val="Normal"/>
    <w:link w:val="ListParagraphChar"/>
    <w:uiPriority w:val="34"/>
    <w:qFormat/>
    <w:rsid w:val="000E2560"/>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8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1073</Words>
  <Characters>6119</Characters>
  <Application>Microsoft Office Word</Application>
  <DocSecurity>0</DocSecurity>
  <Lines>50</Lines>
  <Paragraphs>14</Paragraphs>
  <ScaleCrop>false</ScaleCrop>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Lesleyann Craig</dc:creator>
  <cp:keywords/>
  <dc:description/>
  <cp:lastModifiedBy>Lesleyann Craig</cp:lastModifiedBy>
  <cp:revision>1</cp:revision>
  <dcterms:created xsi:type="dcterms:W3CDTF">2022-05-05T11:49:00Z</dcterms:created>
  <dcterms:modified xsi:type="dcterms:W3CDTF">2022-05-05T11:51:00Z</dcterms:modified>
</cp:coreProperties>
</file>